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72E0E">
      <w:pPr>
        <w:pStyle w:val="2"/>
        <w:numPr>
          <w:ilvl w:val="0"/>
          <w:numId w:val="0"/>
        </w:numPr>
        <w:spacing w:line="360" w:lineRule="auto"/>
        <w:ind w:firstLine="2891" w:firstLineChars="900"/>
        <w:jc w:val="both"/>
        <w:rPr>
          <w:rFonts w:ascii="黑体" w:hAnsi="黑体" w:eastAsia="黑体"/>
          <w:sz w:val="32"/>
          <w:szCs w:val="32"/>
          <w:highlight w:val="none"/>
        </w:rPr>
      </w:pPr>
      <w:bookmarkStart w:id="0" w:name="_Toc9061"/>
      <w:r>
        <w:rPr>
          <w:rFonts w:hint="eastAsia" w:ascii="黑体" w:hAnsi="黑体" w:eastAsia="黑体"/>
          <w:sz w:val="32"/>
          <w:szCs w:val="32"/>
          <w:highlight w:val="none"/>
          <w:lang w:val="en-US" w:eastAsia="zh-CN"/>
        </w:rPr>
        <w:t>印刷品类</w:t>
      </w:r>
      <w:r>
        <w:rPr>
          <w:rFonts w:hint="eastAsia" w:ascii="黑体" w:hAnsi="黑体" w:eastAsia="黑体"/>
          <w:sz w:val="32"/>
          <w:szCs w:val="32"/>
          <w:highlight w:val="none"/>
        </w:rPr>
        <w:t>采购需求</w:t>
      </w:r>
      <w:bookmarkEnd w:id="0"/>
    </w:p>
    <w:p w14:paraId="4A87B80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textAlignment w:val="auto"/>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采购</w:t>
      </w:r>
      <w:r>
        <w:rPr>
          <w:rFonts w:hint="eastAsia" w:ascii="宋体" w:hAnsi="宋体" w:eastAsia="宋体" w:cs="宋体"/>
          <w:b/>
          <w:color w:val="auto"/>
          <w:szCs w:val="21"/>
          <w:highlight w:val="none"/>
        </w:rPr>
        <w:t>项</w:t>
      </w:r>
      <w:r>
        <w:rPr>
          <w:rFonts w:hint="eastAsia" w:ascii="宋体" w:hAnsi="宋体" w:cs="宋体"/>
          <w:b/>
          <w:color w:val="auto"/>
          <w:szCs w:val="21"/>
          <w:highlight w:val="none"/>
          <w:lang w:val="en-US" w:eastAsia="zh-CN"/>
        </w:rPr>
        <w:t>信息</w:t>
      </w:r>
    </w:p>
    <w:p w14:paraId="2804EC1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采购项目名称：株洲市中医伤科医院印刷品类采购</w:t>
      </w:r>
      <w:r>
        <w:rPr>
          <w:rFonts w:hint="eastAsia" w:ascii="宋体" w:hAnsi="宋体" w:eastAsia="宋体" w:cs="宋体"/>
          <w:color w:val="auto"/>
          <w:sz w:val="21"/>
          <w:szCs w:val="21"/>
          <w:highlight w:val="none"/>
          <w:lang w:val="en-US" w:eastAsia="zh-CN"/>
        </w:rPr>
        <w:t xml:space="preserve">。 </w:t>
      </w:r>
    </w:p>
    <w:p w14:paraId="41ABDE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color w:val="auto"/>
          <w:sz w:val="21"/>
          <w:szCs w:val="21"/>
          <w:highlight w:val="none"/>
          <w:lang w:val="en-US" w:eastAsia="zh-CN"/>
        </w:rPr>
      </w:pPr>
      <w:bookmarkStart w:id="1" w:name="_Toc29908"/>
      <w:bookmarkStart w:id="2" w:name="_Toc6464"/>
      <w:r>
        <w:rPr>
          <w:rFonts w:hint="eastAsia" w:ascii="宋体" w:hAnsi="宋体" w:cs="宋体"/>
          <w:b w:val="0"/>
          <w:bCs/>
          <w:color w:val="auto"/>
          <w:sz w:val="21"/>
          <w:szCs w:val="21"/>
          <w:highlight w:val="none"/>
          <w:lang w:val="en-US" w:eastAsia="zh-CN"/>
        </w:rPr>
        <w:t>2.采购项目数量及预算：</w:t>
      </w:r>
    </w:p>
    <w:tbl>
      <w:tblPr>
        <w:tblStyle w:val="7"/>
        <w:tblW w:w="8498" w:type="dxa"/>
        <w:tblInd w:w="1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0"/>
        <w:gridCol w:w="2250"/>
        <w:gridCol w:w="1305"/>
        <w:gridCol w:w="3443"/>
      </w:tblGrid>
      <w:tr w14:paraId="2C32C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500" w:type="dxa"/>
          </w:tcPr>
          <w:p w14:paraId="5F9B9798">
            <w:pPr>
              <w:keepNext w:val="0"/>
              <w:keepLines w:val="0"/>
              <w:pageBreakBefore w:val="0"/>
              <w:widowControl w:val="0"/>
              <w:kinsoku/>
              <w:wordWrap/>
              <w:overflowPunct/>
              <w:topLinePunct w:val="0"/>
              <w:autoSpaceDE/>
              <w:autoSpaceDN/>
              <w:bidi w:val="0"/>
              <w:adjustRightInd/>
              <w:snapToGrid/>
              <w:spacing w:line="360" w:lineRule="auto"/>
              <w:ind w:firstLine="210" w:firstLineChars="100"/>
              <w:jc w:val="both"/>
              <w:textAlignment w:val="auto"/>
              <w:rPr>
                <w:rFonts w:hint="default" w:ascii="宋体" w:hAnsi="宋体" w:cs="宋体"/>
                <w:b w:val="0"/>
                <w:bCs/>
                <w:color w:val="auto"/>
                <w:sz w:val="21"/>
                <w:szCs w:val="21"/>
                <w:highlight w:val="none"/>
                <w:vertAlign w:val="baseline"/>
                <w:lang w:val="en-US" w:eastAsia="zh-CN"/>
              </w:rPr>
            </w:pPr>
            <w:r>
              <w:rPr>
                <w:rFonts w:hint="eastAsia" w:ascii="宋体" w:hAnsi="宋体" w:cs="宋体"/>
                <w:b w:val="0"/>
                <w:bCs/>
                <w:color w:val="auto"/>
                <w:sz w:val="21"/>
                <w:szCs w:val="21"/>
                <w:highlight w:val="none"/>
                <w:vertAlign w:val="baseline"/>
                <w:lang w:val="en-US" w:eastAsia="zh-CN"/>
              </w:rPr>
              <w:t>项目名称</w:t>
            </w:r>
          </w:p>
        </w:tc>
        <w:tc>
          <w:tcPr>
            <w:tcW w:w="2250" w:type="dxa"/>
          </w:tcPr>
          <w:p w14:paraId="487F2DA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b w:val="0"/>
                <w:bCs/>
                <w:color w:val="auto"/>
                <w:sz w:val="21"/>
                <w:szCs w:val="21"/>
                <w:highlight w:val="none"/>
                <w:vertAlign w:val="baseline"/>
                <w:lang w:val="en-US" w:eastAsia="zh-CN"/>
              </w:rPr>
            </w:pPr>
            <w:r>
              <w:rPr>
                <w:rFonts w:hint="eastAsia" w:ascii="宋体" w:hAnsi="宋体" w:cs="宋体"/>
                <w:b w:val="0"/>
                <w:bCs/>
                <w:color w:val="auto"/>
                <w:sz w:val="21"/>
                <w:szCs w:val="21"/>
                <w:highlight w:val="none"/>
                <w:vertAlign w:val="baseline"/>
                <w:lang w:val="en-US" w:eastAsia="zh-CN"/>
              </w:rPr>
              <w:t>预算金额（元/年）</w:t>
            </w:r>
          </w:p>
        </w:tc>
        <w:tc>
          <w:tcPr>
            <w:tcW w:w="1305" w:type="dxa"/>
          </w:tcPr>
          <w:p w14:paraId="71C65B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b w:val="0"/>
                <w:bCs/>
                <w:color w:val="auto"/>
                <w:sz w:val="21"/>
                <w:szCs w:val="21"/>
                <w:highlight w:val="none"/>
                <w:vertAlign w:val="baseline"/>
                <w:lang w:val="en-US" w:eastAsia="zh-CN"/>
              </w:rPr>
            </w:pPr>
            <w:r>
              <w:rPr>
                <w:rFonts w:hint="eastAsia" w:ascii="宋体" w:hAnsi="宋体" w:cs="宋体"/>
                <w:b w:val="0"/>
                <w:bCs/>
                <w:color w:val="auto"/>
                <w:sz w:val="21"/>
                <w:szCs w:val="21"/>
                <w:highlight w:val="none"/>
                <w:vertAlign w:val="baseline"/>
                <w:lang w:val="en-US" w:eastAsia="zh-CN"/>
              </w:rPr>
              <w:t xml:space="preserve"> 服务期</w:t>
            </w:r>
          </w:p>
        </w:tc>
        <w:tc>
          <w:tcPr>
            <w:tcW w:w="3443" w:type="dxa"/>
          </w:tcPr>
          <w:p w14:paraId="107658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val="0"/>
                <w:bCs/>
                <w:color w:val="auto"/>
                <w:sz w:val="21"/>
                <w:szCs w:val="21"/>
                <w:highlight w:val="none"/>
                <w:vertAlign w:val="baseline"/>
                <w:lang w:val="en-US" w:eastAsia="zh-CN"/>
              </w:rPr>
            </w:pPr>
            <w:r>
              <w:rPr>
                <w:rFonts w:hint="eastAsia" w:ascii="宋体" w:hAnsi="宋体" w:cs="宋体"/>
                <w:b w:val="0"/>
                <w:bCs/>
                <w:color w:val="auto"/>
                <w:sz w:val="21"/>
                <w:szCs w:val="21"/>
                <w:highlight w:val="none"/>
                <w:vertAlign w:val="baseline"/>
                <w:lang w:val="en-US" w:eastAsia="zh-CN"/>
              </w:rPr>
              <w:t>备  注</w:t>
            </w:r>
          </w:p>
        </w:tc>
      </w:tr>
      <w:tr w14:paraId="230A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1500" w:type="dxa"/>
          </w:tcPr>
          <w:p w14:paraId="4BF1DE8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b w:val="0"/>
                <w:bCs/>
                <w:color w:val="auto"/>
                <w:sz w:val="21"/>
                <w:szCs w:val="21"/>
                <w:highlight w:val="none"/>
                <w:vertAlign w:val="baseline"/>
                <w:lang w:val="en-US" w:eastAsia="zh-CN"/>
              </w:rPr>
            </w:pPr>
            <w:r>
              <w:rPr>
                <w:rFonts w:hint="eastAsia" w:ascii="宋体" w:hAnsi="宋体" w:cs="宋体"/>
                <w:b w:val="0"/>
                <w:bCs/>
                <w:color w:val="auto"/>
                <w:sz w:val="21"/>
                <w:szCs w:val="21"/>
                <w:highlight w:val="none"/>
                <w:vertAlign w:val="baseline"/>
                <w:lang w:val="en-US" w:eastAsia="zh-CN"/>
              </w:rPr>
              <w:t>印刷品类采购</w:t>
            </w:r>
          </w:p>
        </w:tc>
        <w:tc>
          <w:tcPr>
            <w:tcW w:w="2250" w:type="dxa"/>
          </w:tcPr>
          <w:p w14:paraId="448A36F3">
            <w:pPr>
              <w:keepNext w:val="0"/>
              <w:keepLines w:val="0"/>
              <w:pageBreakBefore w:val="0"/>
              <w:widowControl w:val="0"/>
              <w:kinsoku/>
              <w:wordWrap/>
              <w:overflowPunct/>
              <w:topLinePunct w:val="0"/>
              <w:autoSpaceDE/>
              <w:autoSpaceDN/>
              <w:bidi w:val="0"/>
              <w:adjustRightInd/>
              <w:snapToGrid/>
              <w:spacing w:line="360" w:lineRule="auto"/>
              <w:ind w:firstLine="630" w:firstLineChars="300"/>
              <w:jc w:val="both"/>
              <w:textAlignment w:val="auto"/>
              <w:rPr>
                <w:rFonts w:hint="default" w:ascii="宋体" w:hAnsi="宋体" w:cs="宋体"/>
                <w:b w:val="0"/>
                <w:bCs/>
                <w:color w:val="auto"/>
                <w:sz w:val="21"/>
                <w:szCs w:val="21"/>
                <w:highlight w:val="none"/>
                <w:vertAlign w:val="baseline"/>
                <w:lang w:val="en-US" w:eastAsia="zh-CN"/>
              </w:rPr>
            </w:pPr>
            <w:r>
              <w:rPr>
                <w:rFonts w:hint="eastAsia" w:ascii="宋体" w:hAnsi="宋体" w:cs="宋体"/>
                <w:b w:val="0"/>
                <w:bCs/>
                <w:color w:val="auto"/>
                <w:sz w:val="21"/>
                <w:szCs w:val="21"/>
                <w:highlight w:val="none"/>
                <w:vertAlign w:val="baseline"/>
                <w:lang w:val="en-US" w:eastAsia="zh-CN"/>
              </w:rPr>
              <w:t>8万元/年</w:t>
            </w:r>
          </w:p>
        </w:tc>
        <w:tc>
          <w:tcPr>
            <w:tcW w:w="1305" w:type="dxa"/>
          </w:tcPr>
          <w:p w14:paraId="181D1B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cs="宋体"/>
                <w:b w:val="0"/>
                <w:bCs/>
                <w:color w:val="auto"/>
                <w:sz w:val="21"/>
                <w:szCs w:val="21"/>
                <w:highlight w:val="none"/>
                <w:vertAlign w:val="baseline"/>
                <w:lang w:val="en-US" w:eastAsia="zh-CN"/>
              </w:rPr>
            </w:pPr>
            <w:r>
              <w:rPr>
                <w:rFonts w:hint="eastAsia" w:ascii="宋体" w:hAnsi="宋体" w:cs="宋体"/>
                <w:b w:val="0"/>
                <w:bCs/>
                <w:color w:val="auto"/>
                <w:sz w:val="21"/>
                <w:szCs w:val="21"/>
                <w:highlight w:val="none"/>
                <w:vertAlign w:val="baseline"/>
                <w:lang w:val="en-US" w:eastAsia="zh-CN"/>
              </w:rPr>
              <w:t>2年</w:t>
            </w:r>
          </w:p>
        </w:tc>
        <w:tc>
          <w:tcPr>
            <w:tcW w:w="3443" w:type="dxa"/>
          </w:tcPr>
          <w:p w14:paraId="35B7317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b w:val="0"/>
                <w:bCs/>
                <w:color w:val="auto"/>
                <w:sz w:val="21"/>
                <w:szCs w:val="21"/>
                <w:highlight w:val="none"/>
                <w:vertAlign w:val="baseline"/>
                <w:lang w:val="en-US" w:eastAsia="zh-CN"/>
              </w:rPr>
            </w:pPr>
            <w:r>
              <w:rPr>
                <w:rFonts w:hint="eastAsia" w:ascii="宋体" w:hAnsi="宋体" w:cs="宋体"/>
                <w:b w:val="0"/>
                <w:bCs/>
                <w:color w:val="auto"/>
                <w:sz w:val="21"/>
                <w:szCs w:val="21"/>
                <w:highlight w:val="none"/>
                <w:vertAlign w:val="baseline"/>
                <w:lang w:val="en-US" w:eastAsia="zh-CN"/>
              </w:rPr>
              <w:t>中标后根据医院实际需求送货，按实际送货进行结算。</w:t>
            </w:r>
          </w:p>
        </w:tc>
      </w:tr>
    </w:tbl>
    <w:p w14:paraId="7A46EAF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二、采购技术参数要求</w:t>
      </w:r>
    </w:p>
    <w:tbl>
      <w:tblPr>
        <w:tblStyle w:val="6"/>
        <w:tblW w:w="88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3"/>
        <w:gridCol w:w="2225"/>
        <w:gridCol w:w="2635"/>
        <w:gridCol w:w="523"/>
        <w:gridCol w:w="1215"/>
        <w:gridCol w:w="760"/>
        <w:gridCol w:w="984"/>
      </w:tblGrid>
      <w:tr w14:paraId="616DA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3F4D3">
            <w:pPr>
              <w:keepNext w:val="0"/>
              <w:keepLines w:val="0"/>
              <w:widowControl/>
              <w:suppressLineNumbers w:val="0"/>
              <w:jc w:val="center"/>
              <w:textAlignment w:val="center"/>
              <w:rPr>
                <w:rFonts w:hint="default"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序号</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14647">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名称</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E283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规格（单位：mm）</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626C7">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单位</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5A670">
            <w:pPr>
              <w:keepNext w:val="0"/>
              <w:keepLines w:val="0"/>
              <w:widowControl/>
              <w:suppressLineNumbers w:val="0"/>
              <w:jc w:val="center"/>
              <w:textAlignment w:val="center"/>
              <w:rPr>
                <w:rFonts w:hint="default"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单价控制价</w:t>
            </w:r>
            <w:r>
              <w:rPr>
                <w:rFonts w:hint="eastAsia"/>
                <w:b/>
                <w:bCs/>
                <w:color w:val="auto"/>
                <w:sz w:val="18"/>
                <w:szCs w:val="18"/>
                <w:highlight w:val="none"/>
                <w:lang w:val="en-US" w:eastAsia="zh-CN"/>
              </w:rPr>
              <w:t>（元）</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F4155">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数量</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87020">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lang w:val="en-US" w:eastAsia="zh-CN"/>
              </w:rPr>
            </w:pPr>
            <w:r>
              <w:rPr>
                <w:rFonts w:hint="eastAsia" w:asciiTheme="minorEastAsia" w:hAnsiTheme="minorEastAsia" w:eastAsiaTheme="minorEastAsia" w:cstheme="minorEastAsia"/>
                <w:b/>
                <w:bCs/>
                <w:i w:val="0"/>
                <w:iCs w:val="0"/>
                <w:color w:val="000000"/>
                <w:sz w:val="18"/>
                <w:szCs w:val="18"/>
                <w:u w:val="none"/>
                <w:lang w:val="en-US" w:eastAsia="zh-CN"/>
              </w:rPr>
              <w:t>金额（元）</w:t>
            </w:r>
          </w:p>
        </w:tc>
      </w:tr>
      <w:tr w14:paraId="56C0F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E39C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51D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科室院感防控工作记录</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365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A4双面120页胶装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A75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0EE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463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4E4D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800</w:t>
            </w:r>
          </w:p>
        </w:tc>
      </w:tr>
      <w:tr w14:paraId="3E143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A66D3">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FBD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病室工作登记本</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EC5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130*190单面100页胶装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F23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590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3.5</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106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250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7DBD5">
            <w:pPr>
              <w:keepNext w:val="0"/>
              <w:keepLines w:val="0"/>
              <w:widowControl/>
              <w:suppressLineNumbers w:val="0"/>
              <w:tabs>
                <w:tab w:val="left" w:pos="282"/>
              </w:tabs>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875</w:t>
            </w:r>
          </w:p>
        </w:tc>
      </w:tr>
      <w:tr w14:paraId="32288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A6A9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C5C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病假条</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2B9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210*105单面100页胶装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714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7B5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E26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058E0">
            <w:pPr>
              <w:keepNext w:val="0"/>
              <w:keepLines w:val="0"/>
              <w:widowControl/>
              <w:suppressLineNumbers w:val="0"/>
              <w:tabs>
                <w:tab w:val="left" w:pos="357"/>
              </w:tabs>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300</w:t>
            </w:r>
          </w:p>
        </w:tc>
      </w:tr>
      <w:tr w14:paraId="2DC90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0DF2C">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999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住院号卡</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5BE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42*55双面</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72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F71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0.1</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5E0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13000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E908D">
            <w:pPr>
              <w:keepNext w:val="0"/>
              <w:keepLines w:val="0"/>
              <w:widowControl/>
              <w:suppressLineNumbers w:val="0"/>
              <w:tabs>
                <w:tab w:val="left" w:pos="402"/>
              </w:tabs>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1300</w:t>
            </w:r>
          </w:p>
        </w:tc>
      </w:tr>
      <w:tr w14:paraId="7A9F9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329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B20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处方下联单</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B3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105*75单面100页胶装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28F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E7A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A97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5FE1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200</w:t>
            </w:r>
          </w:p>
        </w:tc>
      </w:tr>
      <w:tr w14:paraId="52E8F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E0F4A">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BF7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处方签</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3BA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105*290单面100页胶装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C0C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4CB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3.5</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FED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FDEB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350</w:t>
            </w:r>
          </w:p>
        </w:tc>
      </w:tr>
      <w:tr w14:paraId="4AE8D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65E54">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7</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AA5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highlight w:val="yellow"/>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县农合不干胶</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20C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highlight w:val="yellow"/>
                <w:u w:val="none"/>
              </w:rPr>
            </w:pPr>
            <w:r>
              <w:rPr>
                <w:rFonts w:hint="eastAsia" w:asciiTheme="minorEastAsia" w:hAnsiTheme="minorEastAsia" w:eastAsiaTheme="minorEastAsia" w:cstheme="minorEastAsia"/>
                <w:i w:val="0"/>
                <w:iCs w:val="0"/>
                <w:color w:val="000000"/>
                <w:kern w:val="0"/>
                <w:sz w:val="18"/>
                <w:szCs w:val="18"/>
                <w:highlight w:val="none"/>
                <w:u w:val="none"/>
                <w:lang w:val="en-US" w:eastAsia="zh-CN" w:bidi="ar"/>
              </w:rPr>
              <w:t>A5</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FB9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98E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2.6</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C36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1049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130</w:t>
            </w:r>
          </w:p>
        </w:tc>
      </w:tr>
      <w:tr w14:paraId="5FB71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26DCC">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7F9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医保资料袋</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B62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185*285彩色印刷</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DF6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14D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643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4000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8402F">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6000</w:t>
            </w:r>
          </w:p>
        </w:tc>
      </w:tr>
      <w:tr w14:paraId="1F9E5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8AEDA">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9</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002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护理标识</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D40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30*90PVC彩色印刷</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4D9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56E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0.7</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AA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A9F6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700</w:t>
            </w:r>
          </w:p>
        </w:tc>
      </w:tr>
      <w:tr w14:paraId="171F7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10DA3">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452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危急值报告登记本</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8A4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A4双面100页胶装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0FC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76E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6D8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00AF">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360</w:t>
            </w:r>
          </w:p>
        </w:tc>
      </w:tr>
      <w:tr w14:paraId="4D9A0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A183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11</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3B6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温湿度记录本</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66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A4双面80页胶装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149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955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ACC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2B9C6">
            <w:pPr>
              <w:keepNext w:val="0"/>
              <w:keepLines w:val="0"/>
              <w:widowControl/>
              <w:suppressLineNumbers w:val="0"/>
              <w:tabs>
                <w:tab w:val="left" w:pos="417"/>
              </w:tabs>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140</w:t>
            </w:r>
          </w:p>
        </w:tc>
      </w:tr>
      <w:tr w14:paraId="2B31D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25C2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12</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49F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高危药品交班本</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0DF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A4双面100页胶装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855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316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527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2E46F">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420</w:t>
            </w:r>
          </w:p>
        </w:tc>
      </w:tr>
      <w:tr w14:paraId="5EF49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70B7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13</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5DD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第二类精神药品交班本</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1F2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A4双面100页胶装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2FB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09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977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A7E61">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360</w:t>
            </w:r>
          </w:p>
        </w:tc>
      </w:tr>
      <w:tr w14:paraId="09B36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9082A">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14</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E7E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定制纸杯</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FA8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9盎司250升彩色印刷</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FBF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652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0.15</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DB4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80000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065DC">
            <w:pPr>
              <w:keepNext w:val="0"/>
              <w:keepLines w:val="0"/>
              <w:widowControl/>
              <w:suppressLineNumbers w:val="0"/>
              <w:ind w:firstLine="180" w:firstLineChars="10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12000</w:t>
            </w:r>
          </w:p>
        </w:tc>
      </w:tr>
      <w:tr w14:paraId="2724B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A1B3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15</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AC1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设备使用记录本</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E76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A5双面100页胶装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123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E36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4.5</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296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A07C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225</w:t>
            </w:r>
          </w:p>
        </w:tc>
      </w:tr>
      <w:tr w14:paraId="34035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4040E">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16</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CBB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病室护理交班志</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2AE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185*260双面100页胶装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386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C5D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9.5</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18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930B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1900</w:t>
            </w:r>
          </w:p>
        </w:tc>
      </w:tr>
      <w:tr w14:paraId="681DC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3662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17</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DD4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医生交班本</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8F3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190*270单面100页胶装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961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25E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7.2</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FC7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84CD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1440</w:t>
            </w:r>
          </w:p>
        </w:tc>
      </w:tr>
      <w:tr w14:paraId="046B7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83C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18</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FAB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器械交班本</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F5B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190*270单面100页胶装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B86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8C9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7.2</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00B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DE731">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360</w:t>
            </w:r>
          </w:p>
        </w:tc>
      </w:tr>
      <w:tr w14:paraId="4A7CD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FE264">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19</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912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查对缺陷登记</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C74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190*270单面100页胶装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079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2BC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8.5</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C56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719B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425</w:t>
            </w:r>
          </w:p>
        </w:tc>
      </w:tr>
      <w:tr w14:paraId="2E237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39AC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20</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8D5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病危病重通知单</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6F1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A4双面100页胶装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DD9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A03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985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A730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150</w:t>
            </w:r>
          </w:p>
        </w:tc>
      </w:tr>
      <w:tr w14:paraId="0599E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A3B22">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21</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E4F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医疗废物登记本</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D12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A4双面156页胶装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000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E28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B8A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0FB9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300</w:t>
            </w:r>
          </w:p>
        </w:tc>
      </w:tr>
      <w:tr w14:paraId="22D7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EBF0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22</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846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床头卡</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22A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108*90双面彩色压型</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B57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9D8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0.5</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E9BAB">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rPr>
            </w:pPr>
            <w:r>
              <w:rPr>
                <w:rFonts w:hint="eastAsia" w:asciiTheme="minorEastAsia" w:hAnsiTheme="minorEastAsia" w:eastAsiaTheme="minorEastAsia" w:cstheme="minorEastAsia"/>
                <w:i w:val="0"/>
                <w:iCs w:val="0"/>
                <w:color w:val="000000"/>
                <w:kern w:val="0"/>
                <w:sz w:val="18"/>
                <w:szCs w:val="18"/>
                <w:u w:val="none"/>
                <w:lang w:val="en-US" w:eastAsia="zh-CN" w:bidi="ar"/>
              </w:rPr>
              <w:t>12000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B37F4">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6000</w:t>
            </w:r>
          </w:p>
        </w:tc>
      </w:tr>
      <w:tr w14:paraId="59C56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5726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23</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E6A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手术台次核算请清单</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B90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145x210 100张双面胶装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B23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E3F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4.5</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C6E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56372">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900</w:t>
            </w:r>
          </w:p>
        </w:tc>
      </w:tr>
      <w:tr w14:paraId="4C9D2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8B47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24</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120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护理防水导管标识</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983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PVC彩色印刷</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0BE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C73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F00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FD15B">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1600</w:t>
            </w:r>
          </w:p>
        </w:tc>
      </w:tr>
      <w:tr w14:paraId="1C872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F8E51">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25</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E7D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医院输血登记表</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74D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A4双面100页胶装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006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D54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D37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C8ACD">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180</w:t>
            </w:r>
          </w:p>
        </w:tc>
      </w:tr>
      <w:tr w14:paraId="6284F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F78D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26</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5C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抢救物品药品记录本</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EC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210*145 60页双面胶装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7C4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741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79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81642">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180</w:t>
            </w:r>
          </w:p>
        </w:tc>
      </w:tr>
      <w:tr w14:paraId="2FFB9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3BA4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27</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E6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120接诊登记本</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CC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A4单面100页胶装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73D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421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ACF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72C34">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200</w:t>
            </w:r>
          </w:p>
        </w:tc>
      </w:tr>
      <w:tr w14:paraId="0A3CD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7F3DB">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28</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F86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病历首页</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D67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350克白卡纸单面</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7E5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9EE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174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13000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245D">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13000</w:t>
            </w:r>
          </w:p>
        </w:tc>
      </w:tr>
      <w:tr w14:paraId="4331C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CE0A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29</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015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检验单</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669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230X105单面100页胶装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E50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C0C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2AE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B38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100</w:t>
            </w:r>
          </w:p>
        </w:tc>
      </w:tr>
      <w:tr w14:paraId="3DE48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D091">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30</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FCF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卫生人员档案</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D23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A4双面28页骑马钉</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6F5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E0D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E61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9414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600</w:t>
            </w:r>
          </w:p>
        </w:tc>
      </w:tr>
      <w:tr w14:paraId="58960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D4DB4">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31</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BB0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住院死亡病历讨论记录本</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094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A4双面102页胶装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C0D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E39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AFC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2F4C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280</w:t>
            </w:r>
          </w:p>
        </w:tc>
      </w:tr>
      <w:tr w14:paraId="2DFC4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6A1F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32</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95B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院前急救病情告知书</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94A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A4单面100页胶装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26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65A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EED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A555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180</w:t>
            </w:r>
          </w:p>
        </w:tc>
      </w:tr>
      <w:tr w14:paraId="7641A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544D1">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33</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D93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口服药袋</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8FF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70*85单面印刷成品</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B22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FC7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0.1</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AF0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AA86E">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1000</w:t>
            </w:r>
          </w:p>
        </w:tc>
      </w:tr>
      <w:tr w14:paraId="69FAD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CF83B">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34</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311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口服药卡</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C8F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42*55双面</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44D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052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0.1</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15C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8BBB">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1000</w:t>
            </w:r>
          </w:p>
        </w:tc>
      </w:tr>
      <w:tr w14:paraId="1941A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7862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35</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80E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封条</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D6F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590×60mm彩色印刷</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23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C09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0.15</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FC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5000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8373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750</w:t>
            </w:r>
          </w:p>
        </w:tc>
      </w:tr>
      <w:tr w14:paraId="56A83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4EB2">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36</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940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二级护理标签</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22B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不干胶彩色印刷压型（医用标准尺寸）</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454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9C0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C5A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3FACA">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300</w:t>
            </w:r>
          </w:p>
        </w:tc>
      </w:tr>
      <w:tr w14:paraId="1DCB7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4DE9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37</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8F5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诊断书</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D8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210*105单面100页胶装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432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D53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4.5</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C595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20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1C5AE">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90</w:t>
            </w:r>
          </w:p>
        </w:tc>
      </w:tr>
      <w:tr w14:paraId="65C19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1A2E3">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38</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33E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大塑料袋（定制医院简介）</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4D4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310*450彩色印刷</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60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把</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EC8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532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BFFF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15000</w:t>
            </w:r>
          </w:p>
        </w:tc>
      </w:tr>
      <w:tr w14:paraId="5FE5A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8A742">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39</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68B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小塑料袋（定制医院简介）</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7E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170*310彩色印刷</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99A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把</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A64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A0A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185F">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8000</w:t>
            </w:r>
          </w:p>
        </w:tc>
      </w:tr>
      <w:tr w14:paraId="04FE3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27B1B">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40</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DC0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麻醉疼痛登记本a3</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DF4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A3双面100页胶装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53F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8AB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1FA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78A0F">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360</w:t>
            </w:r>
          </w:p>
        </w:tc>
      </w:tr>
      <w:tr w14:paraId="1ED98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FE97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41</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7A1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针灸登记本</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6ED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A4双面100页胶装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BC7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C1B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CE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BC7AD">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500</w:t>
            </w:r>
          </w:p>
        </w:tc>
      </w:tr>
      <w:tr w14:paraId="12B3A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C51EA">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42</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EDD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退款单</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B26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193*106单面彩色100页胶装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59E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E8F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5.5</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CA4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32A12">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165</w:t>
            </w:r>
          </w:p>
        </w:tc>
      </w:tr>
      <w:tr w14:paraId="4A3AF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B391D">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43</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91A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微生物检验程序记录单</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1CC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265*95单面100页胶装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1B5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F76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6.5</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9AE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96241">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130</w:t>
            </w:r>
          </w:p>
        </w:tc>
      </w:tr>
      <w:tr w14:paraId="50788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D42A4">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44</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378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麻醉科交班志</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CF3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A4双面100页胶装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D6D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FBE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98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B0F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120</w:t>
            </w:r>
          </w:p>
        </w:tc>
      </w:tr>
      <w:tr w14:paraId="49160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9A96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45</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73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门诊护理交班志</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148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A4单面80页胶装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F82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449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F4B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BD7D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90</w:t>
            </w:r>
          </w:p>
        </w:tc>
      </w:tr>
      <w:tr w14:paraId="4A561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63224">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46</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B9C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健康检查本</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13E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A4双面面80页胶装</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A28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AF4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2B6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ACEF4">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80</w:t>
            </w:r>
          </w:p>
        </w:tc>
      </w:tr>
      <w:tr w14:paraId="35280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E3A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47</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19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制剂中心医嘱标签</w:t>
            </w:r>
          </w:p>
        </w:tc>
        <w:tc>
          <w:tcPr>
            <w:tcW w:w="2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7F6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不干胶53x53mm压型</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80C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6AA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0.04</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49A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8104D">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18"/>
                <w:szCs w:val="18"/>
                <w:u w:val="none"/>
                <w:lang w:val="en-US" w:eastAsia="zh-CN"/>
              </w:rPr>
            </w:pPr>
            <w:r>
              <w:rPr>
                <w:rFonts w:hint="eastAsia" w:asciiTheme="minorEastAsia" w:hAnsiTheme="minorEastAsia" w:eastAsiaTheme="minorEastAsia" w:cstheme="minorEastAsia"/>
                <w:i w:val="0"/>
                <w:iCs w:val="0"/>
                <w:color w:val="000000"/>
                <w:sz w:val="18"/>
                <w:szCs w:val="18"/>
                <w:u w:val="none"/>
                <w:lang w:val="en-US" w:eastAsia="zh-CN"/>
              </w:rPr>
              <w:t>400</w:t>
            </w:r>
          </w:p>
        </w:tc>
      </w:tr>
      <w:tr w14:paraId="77480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trPr>
        <w:tc>
          <w:tcPr>
            <w:tcW w:w="788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6E882">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合计</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3B7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sz w:val="18"/>
                <w:szCs w:val="18"/>
                <w:u w:val="none"/>
              </w:rPr>
              <w:fldChar w:fldCharType="begin"/>
            </w:r>
            <w:r>
              <w:rPr>
                <w:rFonts w:hint="eastAsia" w:asciiTheme="minorEastAsia" w:hAnsiTheme="minorEastAsia" w:eastAsiaTheme="minorEastAsia" w:cstheme="minorEastAsia"/>
                <w:i w:val="0"/>
                <w:iCs w:val="0"/>
                <w:color w:val="000000"/>
                <w:sz w:val="18"/>
                <w:szCs w:val="18"/>
                <w:u w:val="none"/>
              </w:rPr>
              <w:instrText xml:space="preserve"> = sum(F1:F48) \* MERGEFORMAT </w:instrText>
            </w:r>
            <w:r>
              <w:rPr>
                <w:rFonts w:hint="eastAsia" w:asciiTheme="minorEastAsia" w:hAnsiTheme="minorEastAsia" w:eastAsiaTheme="minorEastAsia" w:cstheme="minorEastAsia"/>
                <w:i w:val="0"/>
                <w:iCs w:val="0"/>
                <w:color w:val="000000"/>
                <w:sz w:val="18"/>
                <w:szCs w:val="18"/>
                <w:u w:val="none"/>
              </w:rPr>
              <w:fldChar w:fldCharType="separate"/>
            </w:r>
            <w:r>
              <w:rPr>
                <w:rFonts w:hint="eastAsia" w:asciiTheme="minorEastAsia" w:hAnsiTheme="minorEastAsia" w:eastAsiaTheme="minorEastAsia" w:cstheme="minorEastAsia"/>
                <w:i w:val="0"/>
                <w:iCs w:val="0"/>
                <w:color w:val="000000"/>
                <w:sz w:val="18"/>
                <w:szCs w:val="18"/>
                <w:u w:val="none"/>
              </w:rPr>
              <w:t>79940</w:t>
            </w:r>
            <w:r>
              <w:rPr>
                <w:rFonts w:hint="eastAsia" w:asciiTheme="minorEastAsia" w:hAnsiTheme="minorEastAsia" w:eastAsiaTheme="minorEastAsia" w:cstheme="minorEastAsia"/>
                <w:i w:val="0"/>
                <w:iCs w:val="0"/>
                <w:color w:val="000000"/>
                <w:sz w:val="18"/>
                <w:szCs w:val="18"/>
                <w:u w:val="none"/>
              </w:rPr>
              <w:fldChar w:fldCharType="end"/>
            </w:r>
          </w:p>
        </w:tc>
      </w:tr>
    </w:tbl>
    <w:p w14:paraId="300E4959">
      <w:pPr>
        <w:keepNext w:val="0"/>
        <w:keepLines w:val="0"/>
        <w:pageBreakBefore w:val="0"/>
        <w:widowControl/>
        <w:kinsoku/>
        <w:autoSpaceDE/>
        <w:autoSpaceDN/>
        <w:bidi w:val="0"/>
        <w:adjustRightInd/>
        <w:snapToGrid/>
        <w:spacing w:line="360" w:lineRule="auto"/>
        <w:jc w:val="left"/>
        <w:outlineLvl w:val="0"/>
        <w:rPr>
          <w:rFonts w:ascii="黑体" w:hAnsi="黑体" w:eastAsia="黑体" w:cs="黑体"/>
          <w:b/>
          <w:bCs/>
          <w:color w:val="auto"/>
          <w:kern w:val="44"/>
          <w:sz w:val="21"/>
          <w:szCs w:val="21"/>
          <w:highlight w:val="none"/>
        </w:rPr>
      </w:pPr>
      <w:r>
        <w:rPr>
          <w:rFonts w:hint="eastAsia" w:ascii="黑体" w:hAnsi="黑体" w:eastAsia="黑体" w:cs="黑体"/>
          <w:b/>
          <w:bCs/>
          <w:color w:val="auto"/>
          <w:kern w:val="44"/>
          <w:sz w:val="21"/>
          <w:szCs w:val="21"/>
          <w:highlight w:val="none"/>
          <w:lang w:val="en-US" w:eastAsia="zh-CN"/>
        </w:rPr>
        <w:t>三</w:t>
      </w:r>
      <w:r>
        <w:rPr>
          <w:rFonts w:hint="eastAsia" w:ascii="黑体" w:hAnsi="黑体" w:eastAsia="黑体" w:cs="黑体"/>
          <w:b/>
          <w:bCs/>
          <w:color w:val="auto"/>
          <w:kern w:val="44"/>
          <w:sz w:val="21"/>
          <w:szCs w:val="21"/>
          <w:highlight w:val="none"/>
        </w:rPr>
        <w:t>、</w:t>
      </w:r>
      <w:r>
        <w:rPr>
          <w:rFonts w:hint="eastAsia" w:ascii="黑体" w:hAnsi="黑体" w:eastAsia="黑体" w:cs="黑体"/>
          <w:b/>
          <w:bCs/>
          <w:color w:val="auto"/>
          <w:kern w:val="44"/>
          <w:sz w:val="21"/>
          <w:szCs w:val="21"/>
          <w:highlight w:val="none"/>
          <w:lang w:val="en-US" w:eastAsia="zh-CN"/>
        </w:rPr>
        <w:t>服务期、</w:t>
      </w:r>
      <w:r>
        <w:rPr>
          <w:rFonts w:hint="eastAsia" w:ascii="黑体" w:hAnsi="黑体" w:eastAsia="黑体" w:cs="黑体"/>
          <w:b/>
          <w:bCs/>
          <w:color w:val="auto"/>
          <w:kern w:val="44"/>
          <w:sz w:val="21"/>
          <w:szCs w:val="21"/>
          <w:highlight w:val="none"/>
        </w:rPr>
        <w:t>交货时间、地点及方式</w:t>
      </w:r>
      <w:bookmarkEnd w:id="1"/>
      <w:bookmarkEnd w:id="2"/>
    </w:p>
    <w:p w14:paraId="0B2C18A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lang w:val="en-GB" w:eastAsia="zh-CN"/>
        </w:rPr>
      </w:pPr>
      <w:r>
        <w:rPr>
          <w:rFonts w:hint="eastAsia" w:ascii="宋体" w:hAnsi="宋体" w:eastAsia="宋体" w:cs="宋体"/>
          <w:b w:val="0"/>
          <w:bCs w:val="0"/>
          <w:color w:val="auto"/>
          <w:sz w:val="21"/>
          <w:szCs w:val="21"/>
          <w:lang w:val="en-GB" w:eastAsia="zh-CN"/>
        </w:rPr>
        <w:t>1</w:t>
      </w: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sz w:val="21"/>
          <w:szCs w:val="21"/>
          <w:lang w:val="en-GB" w:eastAsia="zh-CN"/>
        </w:rPr>
        <w:t>服务期：</w:t>
      </w:r>
      <w:r>
        <w:rPr>
          <w:rFonts w:hint="eastAsia" w:ascii="宋体" w:hAnsi="宋体" w:cs="宋体"/>
          <w:b w:val="0"/>
          <w:bCs w:val="0"/>
          <w:color w:val="auto"/>
          <w:sz w:val="21"/>
          <w:szCs w:val="21"/>
          <w:lang w:val="en-US" w:eastAsia="zh-CN"/>
        </w:rPr>
        <w:t>2</w:t>
      </w:r>
      <w:r>
        <w:rPr>
          <w:rFonts w:hint="eastAsia" w:ascii="宋体" w:hAnsi="宋体" w:eastAsia="宋体" w:cs="宋体"/>
          <w:b w:val="0"/>
          <w:bCs w:val="0"/>
          <w:color w:val="auto"/>
          <w:sz w:val="21"/>
          <w:szCs w:val="21"/>
          <w:lang w:val="en-GB" w:eastAsia="zh-CN"/>
        </w:rPr>
        <w:t xml:space="preserve"> 年。</w:t>
      </w:r>
    </w:p>
    <w:p w14:paraId="2D75643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lang w:val="en-GB" w:eastAsia="zh-CN"/>
        </w:rPr>
      </w:pPr>
      <w:r>
        <w:rPr>
          <w:rFonts w:hint="eastAsia" w:ascii="宋体" w:hAnsi="宋体" w:eastAsia="宋体" w:cs="宋体"/>
          <w:b w:val="0"/>
          <w:bCs w:val="0"/>
          <w:color w:val="auto"/>
          <w:sz w:val="21"/>
          <w:szCs w:val="21"/>
          <w:lang w:val="en-GB" w:eastAsia="zh-CN"/>
        </w:rPr>
        <w:t>2</w:t>
      </w: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sz w:val="21"/>
          <w:szCs w:val="21"/>
          <w:lang w:val="en-GB" w:eastAsia="zh-CN"/>
        </w:rPr>
        <w:t>交货期、交货时间地点及方式</w:t>
      </w:r>
    </w:p>
    <w:p w14:paraId="21FBE21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FF0000"/>
          <w:sz w:val="21"/>
          <w:szCs w:val="21"/>
          <w:lang w:val="en-GB" w:eastAsia="zh-CN"/>
        </w:rPr>
      </w:pPr>
      <w:r>
        <w:rPr>
          <w:rFonts w:hint="eastAsia" w:ascii="宋体" w:hAnsi="宋体" w:eastAsia="宋体" w:cs="宋体"/>
          <w:b w:val="0"/>
          <w:bCs w:val="0"/>
          <w:color w:val="auto"/>
          <w:sz w:val="21"/>
          <w:szCs w:val="21"/>
          <w:shd w:val="clear"/>
          <w:lang w:val="en-GB" w:eastAsia="zh-CN"/>
        </w:rPr>
        <w:t>2.1 交货期：</w:t>
      </w:r>
      <w:r>
        <w:rPr>
          <w:rFonts w:hint="eastAsia" w:ascii="宋体" w:hAnsi="宋体" w:cs="宋体"/>
          <w:b w:val="0"/>
          <w:bCs w:val="0"/>
          <w:color w:val="auto"/>
          <w:sz w:val="21"/>
          <w:szCs w:val="21"/>
          <w:shd w:val="clear"/>
          <w:lang w:val="en-US" w:eastAsia="zh-CN"/>
        </w:rPr>
        <w:t>所有物品按各需求科室的要求提供，每月</w:t>
      </w:r>
      <w:r>
        <w:rPr>
          <w:rFonts w:hint="eastAsia" w:ascii="宋体" w:hAnsi="宋体" w:eastAsia="宋体" w:cs="宋体"/>
          <w:b w:val="0"/>
          <w:bCs w:val="0"/>
          <w:color w:val="auto"/>
          <w:sz w:val="21"/>
          <w:szCs w:val="21"/>
          <w:shd w:val="clear"/>
          <w:lang w:val="en-GB" w:eastAsia="zh-CN"/>
        </w:rPr>
        <w:t>分批次供货</w:t>
      </w:r>
      <w:r>
        <w:rPr>
          <w:rFonts w:hint="eastAsia" w:ascii="宋体" w:hAnsi="宋体" w:cs="宋体"/>
          <w:b w:val="0"/>
          <w:bCs w:val="0"/>
          <w:color w:val="auto"/>
          <w:sz w:val="21"/>
          <w:szCs w:val="21"/>
          <w:shd w:val="clear"/>
          <w:lang w:val="en-US" w:eastAsia="zh-CN"/>
        </w:rPr>
        <w:t>并送到各科室</w:t>
      </w:r>
      <w:r>
        <w:rPr>
          <w:rFonts w:hint="eastAsia" w:ascii="宋体" w:hAnsi="宋体" w:eastAsia="宋体" w:cs="宋体"/>
          <w:b w:val="0"/>
          <w:bCs w:val="0"/>
          <w:color w:val="auto"/>
          <w:sz w:val="21"/>
          <w:szCs w:val="21"/>
          <w:shd w:val="clear"/>
          <w:lang w:val="en-GB" w:eastAsia="zh-CN"/>
        </w:rPr>
        <w:t>。</w:t>
      </w:r>
    </w:p>
    <w:p w14:paraId="4AE7D67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GB" w:eastAsia="zh-CN"/>
        </w:rPr>
      </w:pPr>
      <w:r>
        <w:rPr>
          <w:rFonts w:hint="eastAsia" w:ascii="宋体" w:hAnsi="宋体" w:eastAsia="宋体" w:cs="宋体"/>
          <w:b w:val="0"/>
          <w:bCs w:val="0"/>
          <w:sz w:val="21"/>
          <w:szCs w:val="21"/>
          <w:lang w:val="en-GB" w:eastAsia="zh-CN"/>
        </w:rPr>
        <w:t>2.2 交货时间及地点：按照采购人要求，成交供应商免费将所需货物运送至</w:t>
      </w:r>
      <w:r>
        <w:rPr>
          <w:rFonts w:hint="eastAsia" w:ascii="宋体" w:hAnsi="宋体" w:cs="宋体"/>
          <w:b w:val="0"/>
          <w:bCs w:val="0"/>
          <w:sz w:val="21"/>
          <w:szCs w:val="21"/>
          <w:lang w:val="en-US" w:eastAsia="zh-CN"/>
        </w:rPr>
        <w:t>各科室</w:t>
      </w:r>
      <w:r>
        <w:rPr>
          <w:rFonts w:hint="eastAsia" w:ascii="宋体" w:hAnsi="宋体" w:eastAsia="宋体" w:cs="宋体"/>
          <w:b w:val="0"/>
          <w:bCs w:val="0"/>
          <w:sz w:val="21"/>
          <w:szCs w:val="21"/>
          <w:lang w:val="en-GB" w:eastAsia="zh-CN"/>
        </w:rPr>
        <w:t>指定地点并验收合格</w:t>
      </w:r>
      <w:r>
        <w:rPr>
          <w:rFonts w:hint="eastAsia" w:ascii="宋体" w:hAnsi="宋体" w:cs="宋体"/>
          <w:b w:val="0"/>
          <w:bCs w:val="0"/>
          <w:sz w:val="21"/>
          <w:szCs w:val="21"/>
          <w:lang w:val="en-GB" w:eastAsia="zh-CN"/>
        </w:rPr>
        <w:t>，</w:t>
      </w:r>
      <w:r>
        <w:rPr>
          <w:rFonts w:hint="eastAsia" w:ascii="宋体" w:hAnsi="宋体" w:eastAsia="宋体" w:cs="宋体"/>
          <w:b w:val="0"/>
          <w:bCs w:val="0"/>
          <w:sz w:val="21"/>
          <w:szCs w:val="21"/>
          <w:lang w:val="en-GB" w:eastAsia="zh-CN"/>
        </w:rPr>
        <w:t>完成验收。</w:t>
      </w:r>
    </w:p>
    <w:p w14:paraId="76BD619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GB" w:eastAsia="zh-CN"/>
        </w:rPr>
      </w:pPr>
      <w:r>
        <w:rPr>
          <w:rFonts w:hint="eastAsia" w:ascii="宋体" w:hAnsi="宋体" w:eastAsia="宋体" w:cs="宋体"/>
          <w:sz w:val="21"/>
          <w:szCs w:val="21"/>
          <w:lang w:val="en-GB" w:eastAsia="zh-CN"/>
        </w:rPr>
        <w:t>2.3 交货方式：按照采购人要求现场交货，不接受快递员送货验货。本项目具体数量以实际发生量为准。</w:t>
      </w:r>
    </w:p>
    <w:p w14:paraId="1768E76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GB"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val="en-GB" w:eastAsia="zh-CN"/>
        </w:rPr>
        <w:t>按照采购人有关物资请购程序，由采购人具体经办人员凭审批后的请购单，向供应商直接或传真下达订货任务，当所需物资数虽品种少或急需</w:t>
      </w:r>
      <w:r>
        <w:rPr>
          <w:rFonts w:hint="eastAsia" w:ascii="宋体" w:hAnsi="宋体" w:eastAsia="宋体" w:cs="宋体"/>
          <w:sz w:val="21"/>
          <w:szCs w:val="21"/>
          <w:lang w:val="en-US" w:eastAsia="zh-CN"/>
        </w:rPr>
        <w:t>时</w:t>
      </w:r>
      <w:r>
        <w:rPr>
          <w:rFonts w:hint="eastAsia" w:ascii="宋体" w:hAnsi="宋体" w:eastAsia="宋体" w:cs="宋体"/>
          <w:sz w:val="21"/>
          <w:szCs w:val="21"/>
          <w:lang w:val="en-GB" w:eastAsia="zh-CN"/>
        </w:rPr>
        <w:t>，采购人以电话</w:t>
      </w:r>
      <w:r>
        <w:rPr>
          <w:rFonts w:hint="eastAsia" w:ascii="宋体" w:hAnsi="宋体" w:cs="宋体"/>
          <w:sz w:val="21"/>
          <w:szCs w:val="21"/>
          <w:lang w:val="en-US" w:eastAsia="zh-CN"/>
        </w:rPr>
        <w:t>或微信</w:t>
      </w:r>
      <w:r>
        <w:rPr>
          <w:rFonts w:hint="eastAsia" w:ascii="宋体" w:hAnsi="宋体" w:eastAsia="宋体" w:cs="宋体"/>
          <w:sz w:val="21"/>
          <w:szCs w:val="21"/>
          <w:lang w:val="en-GB" w:eastAsia="zh-CN"/>
        </w:rPr>
        <w:t>方式通知供应商订货。</w:t>
      </w:r>
    </w:p>
    <w:p w14:paraId="03DCFF4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GB"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lang w:val="en-GB" w:eastAsia="zh-CN"/>
        </w:rPr>
        <w:t>采购人应在请购单或电话订货中明确货物的数量、规格及要求，供应商应按要求提供样品给采购人，由采购人封存，待供应商所发货物到达时进行核对。</w:t>
      </w:r>
    </w:p>
    <w:p w14:paraId="79CE3F0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GB"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lang w:val="en-GB" w:eastAsia="zh-CN"/>
        </w:rPr>
        <w:t>货物的交货，下订单后</w:t>
      </w:r>
      <w:r>
        <w:rPr>
          <w:rFonts w:hint="eastAsia" w:ascii="宋体" w:hAnsi="宋体" w:cs="宋体"/>
          <w:sz w:val="21"/>
          <w:szCs w:val="21"/>
          <w:lang w:val="en-GB" w:eastAsia="zh-CN"/>
        </w:rPr>
        <w:t>，</w:t>
      </w:r>
      <w:r>
        <w:rPr>
          <w:rFonts w:hint="eastAsia" w:ascii="宋体" w:hAnsi="宋体" w:eastAsia="宋体" w:cs="宋体"/>
          <w:sz w:val="21"/>
          <w:szCs w:val="21"/>
          <w:lang w:val="en-GB" w:eastAsia="zh-CN"/>
        </w:rPr>
        <w:t>定做货物</w:t>
      </w:r>
      <w:r>
        <w:rPr>
          <w:rFonts w:hint="eastAsia" w:ascii="宋体" w:hAnsi="宋体" w:cs="宋体"/>
          <w:sz w:val="21"/>
          <w:szCs w:val="21"/>
          <w:lang w:val="en-US" w:eastAsia="zh-CN"/>
        </w:rPr>
        <w:t>7</w:t>
      </w:r>
      <w:r>
        <w:rPr>
          <w:rFonts w:hint="eastAsia" w:ascii="宋体" w:hAnsi="宋体" w:eastAsia="宋体" w:cs="宋体"/>
          <w:sz w:val="21"/>
          <w:szCs w:val="21"/>
          <w:lang w:val="en-GB" w:eastAsia="zh-CN"/>
        </w:rPr>
        <w:t>天内交货（每次交货至少提前一天通知采购人，且需得到采购人同意后才可送货）。</w:t>
      </w:r>
    </w:p>
    <w:p w14:paraId="0CB7AAD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GB"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lang w:val="en-GB" w:eastAsia="zh-CN"/>
        </w:rPr>
        <w:t>采购人需定制（不在合同中）新</w:t>
      </w:r>
      <w:r>
        <w:rPr>
          <w:rFonts w:hint="eastAsia" w:ascii="宋体" w:hAnsi="宋体" w:eastAsia="宋体" w:cs="宋体"/>
          <w:sz w:val="21"/>
          <w:szCs w:val="21"/>
          <w:lang w:val="en-US" w:eastAsia="zh-CN"/>
        </w:rPr>
        <w:t>货物</w:t>
      </w:r>
      <w:r>
        <w:rPr>
          <w:rFonts w:hint="eastAsia" w:ascii="宋体" w:hAnsi="宋体" w:eastAsia="宋体" w:cs="宋体"/>
          <w:sz w:val="21"/>
          <w:szCs w:val="21"/>
          <w:lang w:val="en-GB" w:eastAsia="zh-CN"/>
        </w:rPr>
        <w:t>时，供应商需在</w:t>
      </w:r>
      <w:r>
        <w:rPr>
          <w:rFonts w:hint="eastAsia" w:ascii="宋体" w:hAnsi="宋体" w:eastAsia="宋体" w:cs="宋体"/>
          <w:sz w:val="21"/>
          <w:szCs w:val="21"/>
          <w:lang w:val="en-US" w:eastAsia="zh-CN"/>
        </w:rPr>
        <w:t>5</w:t>
      </w:r>
      <w:r>
        <w:rPr>
          <w:rFonts w:hint="eastAsia" w:ascii="宋体" w:hAnsi="宋体" w:eastAsia="宋体" w:cs="宋体"/>
          <w:sz w:val="21"/>
          <w:szCs w:val="21"/>
          <w:lang w:val="en-GB" w:eastAsia="zh-CN"/>
        </w:rPr>
        <w:t>个工作日内完成打板和报价，采购人确定样板后为正式下单采购，供应商需按供货时间完成交货。</w:t>
      </w:r>
    </w:p>
    <w:p w14:paraId="727B728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sz w:val="21"/>
          <w:szCs w:val="21"/>
          <w:highlight w:val="none"/>
        </w:rPr>
      </w:pPr>
      <w:r>
        <w:rPr>
          <w:rFonts w:hint="eastAsia" w:ascii="宋体" w:hAnsi="宋体" w:cs="宋体"/>
          <w:sz w:val="21"/>
          <w:szCs w:val="21"/>
          <w:lang w:val="en-US" w:eastAsia="zh-CN"/>
        </w:rPr>
        <w:t>7</w:t>
      </w:r>
      <w:r>
        <w:rPr>
          <w:rFonts w:hint="eastAsia" w:ascii="宋体" w:hAnsi="宋体" w:eastAsia="宋体" w:cs="宋体"/>
          <w:sz w:val="21"/>
          <w:szCs w:val="21"/>
          <w:lang w:val="en-US" w:eastAsia="zh-CN"/>
        </w:rPr>
        <w:t>.验收标准：在合同标的物到达指定地点后，采购人有权对产品的数量、包装、规格、质量、随付单证等清点验收，如果产品数量、包装、规格、质量、随附单证等与合同约定不一致的，视为交付不合格，采购人有权拒绝接受不合格产品。供应商需在采购人要求的时间内无条件更换、补足，由此产生的费用由供应商承担；或者采购人有权直接退货，供应商应退还采购人已支付的全部价款。</w:t>
      </w:r>
    </w:p>
    <w:p w14:paraId="516E0130">
      <w:pPr>
        <w:keepNext w:val="0"/>
        <w:keepLines w:val="0"/>
        <w:pageBreakBefore w:val="0"/>
        <w:widowControl/>
        <w:kinsoku/>
        <w:autoSpaceDE/>
        <w:autoSpaceDN/>
        <w:bidi w:val="0"/>
        <w:adjustRightInd/>
        <w:snapToGrid/>
        <w:spacing w:line="360" w:lineRule="auto"/>
        <w:jc w:val="left"/>
        <w:outlineLvl w:val="0"/>
        <w:rPr>
          <w:rFonts w:ascii="黑体" w:hAnsi="黑体" w:eastAsia="黑体" w:cs="黑体"/>
          <w:b/>
          <w:color w:val="auto"/>
          <w:sz w:val="21"/>
          <w:szCs w:val="21"/>
          <w:highlight w:val="none"/>
        </w:rPr>
      </w:pPr>
      <w:bookmarkStart w:id="3" w:name="_Toc30496"/>
      <w:bookmarkStart w:id="4" w:name="_Toc32664"/>
      <w:r>
        <w:rPr>
          <w:rFonts w:hint="eastAsia" w:ascii="黑体" w:hAnsi="黑体" w:eastAsia="黑体" w:cs="黑体"/>
          <w:b/>
          <w:bCs/>
          <w:color w:val="auto"/>
          <w:kern w:val="44"/>
          <w:sz w:val="21"/>
          <w:szCs w:val="21"/>
          <w:highlight w:val="none"/>
          <w:lang w:val="en-US" w:eastAsia="zh-CN"/>
        </w:rPr>
        <w:t>四</w:t>
      </w:r>
      <w:r>
        <w:rPr>
          <w:rFonts w:hint="eastAsia" w:ascii="黑体" w:hAnsi="黑体" w:eastAsia="黑体" w:cs="黑体"/>
          <w:b/>
          <w:bCs/>
          <w:color w:val="auto"/>
          <w:kern w:val="44"/>
          <w:sz w:val="21"/>
          <w:szCs w:val="21"/>
          <w:highlight w:val="none"/>
        </w:rPr>
        <w:t>、产品运输、保管及保险</w:t>
      </w:r>
      <w:bookmarkEnd w:id="3"/>
      <w:bookmarkEnd w:id="4"/>
    </w:p>
    <w:p w14:paraId="2A84A408">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1、中标单位负责保证货物在没有任何损坏和腐蚀的情况下安全运抵合同规定的交货地点，应承担由于其包装或防护措施不妥而起货物锈蚀、损坏和丢失的任何责任或费用；</w:t>
      </w:r>
    </w:p>
    <w:p w14:paraId="16152995">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2、中标单位应对提供的货物在运输、存放及交货过程中的毁损或灭失进行保险投保，负责其派出的安装指导、服务人员的人身意外保险；</w:t>
      </w:r>
    </w:p>
    <w:p w14:paraId="2CF78717">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3、长途运输，做到防潮、防雨、防锈、防震，包装箱上应用中文标出装运标记</w:t>
      </w:r>
      <w:r>
        <w:rPr>
          <w:rFonts w:hint="eastAsia" w:ascii="宋体" w:hAnsi="宋体" w:cs="宋体"/>
          <w:color w:val="auto"/>
          <w:sz w:val="21"/>
          <w:szCs w:val="21"/>
          <w:highlight w:val="none"/>
          <w:lang w:eastAsia="zh-CN"/>
        </w:rPr>
        <w:t>。</w:t>
      </w:r>
    </w:p>
    <w:p w14:paraId="5820B5FC">
      <w:pPr>
        <w:keepNext w:val="0"/>
        <w:keepLines w:val="0"/>
        <w:pageBreakBefore w:val="0"/>
        <w:widowControl/>
        <w:kinsoku/>
        <w:autoSpaceDE/>
        <w:autoSpaceDN/>
        <w:bidi w:val="0"/>
        <w:adjustRightInd/>
        <w:snapToGrid/>
        <w:spacing w:line="360" w:lineRule="auto"/>
        <w:jc w:val="left"/>
        <w:outlineLvl w:val="0"/>
        <w:rPr>
          <w:color w:val="auto"/>
          <w:sz w:val="21"/>
          <w:szCs w:val="21"/>
          <w:highlight w:val="none"/>
        </w:rPr>
      </w:pPr>
      <w:bookmarkStart w:id="5" w:name="_Toc28153"/>
      <w:bookmarkStart w:id="6" w:name="_Toc29255"/>
      <w:r>
        <w:rPr>
          <w:rFonts w:hint="eastAsia" w:ascii="黑体" w:hAnsi="黑体" w:eastAsia="黑体" w:cs="黑体"/>
          <w:b/>
          <w:bCs/>
          <w:color w:val="auto"/>
          <w:kern w:val="44"/>
          <w:sz w:val="21"/>
          <w:szCs w:val="21"/>
          <w:highlight w:val="none"/>
          <w:lang w:val="en-US" w:eastAsia="zh-CN"/>
        </w:rPr>
        <w:t>五</w:t>
      </w:r>
      <w:r>
        <w:rPr>
          <w:rFonts w:hint="eastAsia" w:ascii="黑体" w:hAnsi="黑体" w:eastAsia="黑体" w:cs="黑体"/>
          <w:b/>
          <w:bCs/>
          <w:color w:val="auto"/>
          <w:kern w:val="44"/>
          <w:sz w:val="21"/>
          <w:szCs w:val="21"/>
          <w:highlight w:val="none"/>
        </w:rPr>
        <w:t>、验收标准和方法</w:t>
      </w:r>
      <w:bookmarkEnd w:id="5"/>
      <w:bookmarkEnd w:id="6"/>
    </w:p>
    <w:p w14:paraId="0996E42C">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1、本项目</w:t>
      </w:r>
      <w:r>
        <w:rPr>
          <w:rFonts w:hint="eastAsia" w:ascii="宋体" w:hAnsi="宋体" w:cs="宋体"/>
          <w:color w:val="auto"/>
          <w:sz w:val="21"/>
          <w:szCs w:val="21"/>
          <w:highlight w:val="none"/>
          <w:lang w:val="en-US" w:eastAsia="zh-CN"/>
        </w:rPr>
        <w:t>由</w:t>
      </w:r>
      <w:r>
        <w:rPr>
          <w:rFonts w:hint="eastAsia" w:ascii="宋体" w:hAnsi="宋体" w:cs="宋体"/>
          <w:color w:val="auto"/>
          <w:sz w:val="21"/>
          <w:szCs w:val="21"/>
          <w:highlight w:val="none"/>
        </w:rPr>
        <w:t>采购单位验收，所有合同款项必须在验收合格后才能支付。</w:t>
      </w:r>
    </w:p>
    <w:p w14:paraId="00D5AE57">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2、中标单位负责产品安装完成后与相关部门协调验收工作，提供正式的货物验收、检测等相关报告、证明文件。相关一切费用均由投标方承担，验收报告作为申请付款的凭证之一；</w:t>
      </w:r>
    </w:p>
    <w:p w14:paraId="4BAF3D59">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3、验收过程中产生纠纷的，由监督部门认定的检测机构检测,如为中标单位原因造成的，由中标单位承担检测费用；否则，由采购人承担；</w:t>
      </w:r>
    </w:p>
    <w:p w14:paraId="53BD6714">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rPr>
        <w:t>4、如因中标单位原因导致项目验收不合格，由中标单位负责返工直至合格，有关返工、再行验收，以及给采购人造成的损失等费用由中标单位承担。连续两次项目验收不合格的，</w:t>
      </w:r>
      <w:r>
        <w:rPr>
          <w:rFonts w:hint="eastAsia" w:ascii="宋体" w:hAnsi="宋体" w:cs="宋体"/>
          <w:color w:val="auto"/>
          <w:sz w:val="21"/>
          <w:szCs w:val="21"/>
          <w:highlight w:val="none"/>
          <w:lang w:val="en-US" w:eastAsia="zh-CN"/>
        </w:rPr>
        <w:t>考核在60分以下，</w:t>
      </w:r>
      <w:r>
        <w:rPr>
          <w:rFonts w:hint="eastAsia" w:ascii="宋体" w:hAnsi="宋体" w:cs="宋体"/>
          <w:color w:val="auto"/>
          <w:sz w:val="21"/>
          <w:szCs w:val="21"/>
          <w:highlight w:val="none"/>
        </w:rPr>
        <w:t>采购人可终止合同，另行按规定选择其他供应商采购，由此带来的一切损失由中标单位承担；</w:t>
      </w:r>
    </w:p>
    <w:p w14:paraId="324486A8">
      <w:pPr>
        <w:keepNext w:val="0"/>
        <w:keepLines w:val="0"/>
        <w:pageBreakBefore w:val="0"/>
        <w:widowControl/>
        <w:kinsoku/>
        <w:autoSpaceDE/>
        <w:autoSpaceDN/>
        <w:bidi w:val="0"/>
        <w:adjustRightInd/>
        <w:snapToGrid/>
        <w:spacing w:line="360" w:lineRule="auto"/>
        <w:jc w:val="left"/>
        <w:outlineLvl w:val="0"/>
        <w:rPr>
          <w:rFonts w:ascii="黑体" w:hAnsi="黑体" w:eastAsia="黑体" w:cs="黑体"/>
          <w:b/>
          <w:bCs/>
          <w:color w:val="auto"/>
          <w:kern w:val="44"/>
          <w:sz w:val="21"/>
          <w:szCs w:val="21"/>
          <w:highlight w:val="none"/>
        </w:rPr>
      </w:pPr>
      <w:r>
        <w:rPr>
          <w:rFonts w:hint="eastAsia" w:ascii="黑体" w:hAnsi="黑体" w:eastAsia="黑体" w:cs="黑体"/>
          <w:b/>
          <w:bCs/>
          <w:color w:val="auto"/>
          <w:kern w:val="44"/>
          <w:sz w:val="21"/>
          <w:szCs w:val="21"/>
          <w:highlight w:val="none"/>
          <w:lang w:val="en-US" w:eastAsia="zh-CN"/>
        </w:rPr>
        <w:t>六</w:t>
      </w:r>
      <w:bookmarkStart w:id="7" w:name="_Toc3695"/>
      <w:bookmarkStart w:id="8" w:name="_Toc6773"/>
      <w:r>
        <w:rPr>
          <w:rFonts w:hint="eastAsia" w:ascii="黑体" w:hAnsi="黑体" w:eastAsia="黑体" w:cs="黑体"/>
          <w:b/>
          <w:bCs/>
          <w:color w:val="auto"/>
          <w:kern w:val="44"/>
          <w:sz w:val="21"/>
          <w:szCs w:val="21"/>
          <w:highlight w:val="none"/>
        </w:rPr>
        <w:t>、</w:t>
      </w:r>
      <w:r>
        <w:rPr>
          <w:rFonts w:hint="eastAsia" w:ascii="黑体" w:hAnsi="黑体" w:eastAsia="黑体" w:cs="黑体"/>
          <w:b/>
          <w:bCs/>
          <w:color w:val="auto"/>
          <w:kern w:val="44"/>
          <w:sz w:val="21"/>
          <w:szCs w:val="21"/>
          <w:highlight w:val="none"/>
          <w:lang w:val="en-US" w:eastAsia="zh-CN"/>
        </w:rPr>
        <w:t>质量保证及</w:t>
      </w:r>
      <w:r>
        <w:rPr>
          <w:rFonts w:hint="eastAsia" w:ascii="黑体" w:hAnsi="黑体" w:eastAsia="黑体" w:cs="黑体"/>
          <w:b/>
          <w:bCs/>
          <w:color w:val="auto"/>
          <w:kern w:val="44"/>
          <w:sz w:val="21"/>
          <w:szCs w:val="21"/>
          <w:highlight w:val="none"/>
        </w:rPr>
        <w:t>售后服务</w:t>
      </w:r>
      <w:bookmarkEnd w:id="7"/>
      <w:bookmarkEnd w:id="8"/>
    </w:p>
    <w:p w14:paraId="54B01D7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bookmarkStart w:id="9" w:name="_Toc17184"/>
      <w:r>
        <w:rPr>
          <w:rFonts w:hint="eastAsia" w:ascii="宋体" w:hAnsi="宋体" w:eastAsia="宋体" w:cs="宋体"/>
          <w:color w:val="auto"/>
          <w:sz w:val="21"/>
          <w:szCs w:val="21"/>
          <w:lang w:val="en-US" w:eastAsia="zh-CN"/>
        </w:rPr>
        <w:t>1.</w:t>
      </w:r>
      <w:r>
        <w:rPr>
          <w:rFonts w:hint="eastAsia" w:ascii="宋体" w:hAnsi="宋体" w:eastAsia="宋体" w:cs="宋体"/>
          <w:sz w:val="21"/>
          <w:szCs w:val="21"/>
          <w:lang w:val="en-US" w:eastAsia="zh-CN"/>
        </w:rPr>
        <w:t>供应商</w:t>
      </w:r>
      <w:r>
        <w:rPr>
          <w:rFonts w:hint="eastAsia" w:ascii="宋体" w:hAnsi="宋体" w:cs="宋体"/>
          <w:sz w:val="21"/>
          <w:szCs w:val="21"/>
          <w:lang w:val="en-US" w:eastAsia="zh-CN"/>
        </w:rPr>
        <w:t>相关资质符合要求</w:t>
      </w:r>
      <w:r>
        <w:rPr>
          <w:rFonts w:hint="eastAsia" w:ascii="宋体" w:hAnsi="宋体" w:eastAsia="宋体" w:cs="宋体"/>
          <w:color w:val="auto"/>
          <w:sz w:val="21"/>
          <w:szCs w:val="21"/>
          <w:lang w:val="en-US" w:eastAsia="zh-CN"/>
        </w:rPr>
        <w:t>。</w:t>
      </w:r>
    </w:p>
    <w:p w14:paraId="2E076DA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2.供应商提供的货物必须符合</w:t>
      </w:r>
      <w:r>
        <w:rPr>
          <w:rFonts w:hint="eastAsia" w:ascii="宋体" w:hAnsi="宋体" w:cs="宋体"/>
          <w:color w:val="auto"/>
          <w:sz w:val="21"/>
          <w:szCs w:val="21"/>
          <w:lang w:val="en-US" w:eastAsia="zh-CN"/>
        </w:rPr>
        <w:t>科室需求</w:t>
      </w:r>
      <w:r>
        <w:rPr>
          <w:rFonts w:hint="eastAsia" w:ascii="宋体" w:hAnsi="宋体" w:eastAsia="宋体" w:cs="宋体"/>
          <w:color w:val="auto"/>
          <w:sz w:val="21"/>
          <w:szCs w:val="21"/>
          <w:lang w:val="en-US" w:eastAsia="zh-CN"/>
        </w:rPr>
        <w:t>，满足采购人要求</w:t>
      </w:r>
      <w:r>
        <w:rPr>
          <w:rFonts w:hint="eastAsia" w:ascii="宋体" w:hAnsi="宋体" w:cs="宋体"/>
          <w:color w:val="auto"/>
          <w:sz w:val="21"/>
          <w:szCs w:val="21"/>
          <w:lang w:val="en-US" w:eastAsia="zh-CN"/>
        </w:rPr>
        <w:t>。</w:t>
      </w:r>
    </w:p>
    <w:p w14:paraId="54257AB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3.所有货物质量等于或优于本技术要求时才能为采购人所接受。</w:t>
      </w:r>
    </w:p>
    <w:p w14:paraId="6C2BCC9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r>
        <w:rPr>
          <w:rFonts w:hint="eastAsia" w:ascii="宋体" w:hAnsi="宋体" w:cs="宋体"/>
          <w:color w:val="auto"/>
          <w:sz w:val="21"/>
          <w:szCs w:val="21"/>
          <w:lang w:val="en-US" w:eastAsia="zh-CN"/>
        </w:rPr>
        <w:t>.</w:t>
      </w:r>
      <w:r>
        <w:rPr>
          <w:rFonts w:hint="eastAsia" w:ascii="宋体" w:hAnsi="宋体" w:eastAsia="宋体" w:cs="宋体"/>
          <w:sz w:val="21"/>
          <w:szCs w:val="21"/>
          <w:lang w:val="en-US" w:eastAsia="zh-CN"/>
        </w:rPr>
        <w:t>售后服务时间</w:t>
      </w:r>
      <w:r>
        <w:rPr>
          <w:rFonts w:hint="eastAsia" w:hAnsi="宋体" w:cs="宋体"/>
          <w:sz w:val="21"/>
          <w:szCs w:val="21"/>
          <w:lang w:val="en-US" w:eastAsia="zh-CN"/>
        </w:rPr>
        <w:t>3天，</w:t>
      </w:r>
      <w:r>
        <w:rPr>
          <w:rFonts w:hint="eastAsia" w:ascii="宋体" w:hAnsi="宋体" w:eastAsia="宋体" w:cs="宋体"/>
          <w:sz w:val="21"/>
          <w:szCs w:val="21"/>
          <w:lang w:val="en-US" w:eastAsia="zh-CN"/>
        </w:rPr>
        <w:t>自货物最终验收合格并交付使用之日起计算。货物在最终使用者手中发生由于生产质量问题时，供应商保证在接到通知 24 小时内赶到现场进行更换或退货，费用由定点供应商负责。</w:t>
      </w:r>
    </w:p>
    <w:bookmarkEnd w:id="9"/>
    <w:p w14:paraId="5533F4A6">
      <w:pPr>
        <w:pageBreakBefore w:val="0"/>
        <w:kinsoku/>
        <w:wordWrap/>
        <w:overflowPunct/>
        <w:topLinePunct w:val="0"/>
        <w:autoSpaceDE w:val="0"/>
        <w:bidi w:val="0"/>
        <w:spacing w:line="360" w:lineRule="auto"/>
        <w:outlineLvl w:val="1"/>
        <w:rPr>
          <w:rFonts w:hint="eastAsia" w:ascii="宋体" w:hAnsi="宋体" w:eastAsia="宋体" w:cs="宋体"/>
          <w:b/>
          <w:bCs/>
          <w:color w:val="auto"/>
          <w:sz w:val="21"/>
          <w:szCs w:val="21"/>
          <w:highlight w:val="none"/>
          <w:lang w:val="en-US" w:eastAsia="zh-CN"/>
        </w:rPr>
      </w:pPr>
      <w:bookmarkStart w:id="10" w:name="_Toc30378"/>
      <w:bookmarkStart w:id="11" w:name="_Toc11126"/>
      <w:r>
        <w:rPr>
          <w:rFonts w:hint="eastAsia" w:ascii="宋体" w:hAnsi="宋体" w:cs="宋体"/>
          <w:b/>
          <w:bCs/>
          <w:sz w:val="21"/>
          <w:szCs w:val="21"/>
          <w:lang w:val="en-US" w:eastAsia="zh-CN"/>
        </w:rPr>
        <w:t>七</w:t>
      </w:r>
      <w:r>
        <w:rPr>
          <w:rFonts w:hint="eastAsia" w:ascii="宋体" w:hAnsi="宋体" w:eastAsia="宋体" w:cs="宋体"/>
          <w:b/>
          <w:bCs/>
          <w:sz w:val="21"/>
          <w:szCs w:val="21"/>
          <w:lang w:val="en-US" w:eastAsia="zh-CN"/>
        </w:rPr>
        <w:t>、</w:t>
      </w:r>
      <w:bookmarkStart w:id="12" w:name="_Toc29294"/>
      <w:bookmarkStart w:id="13" w:name="_Toc5567"/>
      <w:r>
        <w:rPr>
          <w:rFonts w:hint="eastAsia" w:ascii="宋体" w:hAnsi="宋体" w:eastAsia="宋体" w:cs="宋体"/>
          <w:b/>
          <w:bCs/>
          <w:color w:val="auto"/>
          <w:sz w:val="21"/>
          <w:szCs w:val="21"/>
          <w:highlight w:val="none"/>
          <w:lang w:val="en-US" w:eastAsia="zh-CN"/>
        </w:rPr>
        <w:t>考核管理</w:t>
      </w:r>
      <w:bookmarkEnd w:id="12"/>
      <w:bookmarkEnd w:id="13"/>
    </w:p>
    <w:p w14:paraId="1543100C">
      <w:pPr>
        <w:pageBreakBefore w:val="0"/>
        <w:kinsoku/>
        <w:wordWrap/>
        <w:overflowPunct/>
        <w:topLinePunct w:val="0"/>
        <w:autoSpaceDE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1.服务期限及考核：本项目服务期限</w:t>
      </w:r>
      <w:r>
        <w:rPr>
          <w:rFonts w:hint="eastAsia" w:ascii="宋体" w:hAnsi="宋体" w:eastAsia="宋体" w:cs="宋体"/>
          <w:sz w:val="21"/>
          <w:szCs w:val="21"/>
        </w:rPr>
        <w:t>为</w:t>
      </w:r>
      <w:r>
        <w:rPr>
          <w:rFonts w:hint="eastAsia" w:ascii="宋体" w:hAnsi="宋体" w:cs="宋体"/>
          <w:sz w:val="21"/>
          <w:szCs w:val="21"/>
          <w:lang w:val="en-US" w:eastAsia="zh-CN"/>
        </w:rPr>
        <w:t>二</w:t>
      </w:r>
      <w:r>
        <w:rPr>
          <w:rFonts w:hint="eastAsia" w:ascii="宋体" w:hAnsi="宋体" w:eastAsia="宋体" w:cs="宋体"/>
          <w:sz w:val="21"/>
          <w:szCs w:val="21"/>
          <w:lang w:val="en-US" w:eastAsia="zh-CN"/>
        </w:rPr>
        <w:t>年</w:t>
      </w:r>
      <w:r>
        <w:rPr>
          <w:rFonts w:hint="eastAsia" w:ascii="宋体" w:hAnsi="宋体" w:eastAsia="宋体" w:cs="宋体"/>
          <w:color w:val="auto"/>
          <w:sz w:val="21"/>
          <w:szCs w:val="21"/>
          <w:highlight w:val="none"/>
          <w:lang w:val="en-US" w:eastAsia="zh-CN"/>
        </w:rPr>
        <w:t>。采购人及相关</w:t>
      </w:r>
      <w:r>
        <w:rPr>
          <w:rFonts w:hint="eastAsia" w:ascii="宋体" w:hAnsi="宋体" w:cs="宋体"/>
          <w:color w:val="auto"/>
          <w:sz w:val="21"/>
          <w:szCs w:val="21"/>
          <w:highlight w:val="none"/>
          <w:lang w:val="en-US" w:eastAsia="zh-CN"/>
        </w:rPr>
        <w:t>需求科室或</w:t>
      </w:r>
      <w:r>
        <w:rPr>
          <w:rFonts w:hint="eastAsia" w:ascii="宋体" w:hAnsi="宋体" w:eastAsia="宋体" w:cs="宋体"/>
          <w:color w:val="auto"/>
          <w:sz w:val="21"/>
          <w:szCs w:val="21"/>
          <w:highlight w:val="none"/>
          <w:lang w:val="en-US" w:eastAsia="zh-CN"/>
        </w:rPr>
        <w:t>监督管理部门将对供应商进行月度考核。</w:t>
      </w:r>
    </w:p>
    <w:p w14:paraId="75A562C5">
      <w:pPr>
        <w:pageBreakBefore w:val="0"/>
        <w:kinsoku/>
        <w:wordWrap/>
        <w:overflowPunct/>
        <w:topLinePunct w:val="0"/>
        <w:autoSpaceDE w:val="0"/>
        <w:bidi w:val="0"/>
        <w:spacing w:line="360" w:lineRule="auto"/>
        <w:rPr>
          <w:rFonts w:hint="eastAsia" w:ascii="宋体" w:hAnsi="宋体" w:eastAsia="宋体" w:cs="宋体"/>
          <w:b/>
          <w:bCs/>
          <w:color w:val="auto"/>
          <w:sz w:val="21"/>
          <w:szCs w:val="21"/>
        </w:rPr>
      </w:pPr>
      <w:r>
        <w:rPr>
          <w:rFonts w:hint="eastAsia" w:ascii="宋体" w:hAnsi="宋体" w:eastAsia="宋体" w:cs="宋体"/>
          <w:b w:val="0"/>
          <w:bCs w:val="0"/>
          <w:color w:val="auto"/>
          <w:sz w:val="21"/>
          <w:szCs w:val="21"/>
          <w:highlight w:val="none"/>
          <w:lang w:val="en-US" w:eastAsia="zh-CN"/>
        </w:rPr>
        <w:t>具体考核内容如下</w:t>
      </w:r>
      <w:r>
        <w:rPr>
          <w:rFonts w:hint="eastAsia" w:ascii="宋体" w:hAnsi="宋体" w:eastAsia="宋体" w:cs="宋体"/>
          <w:b/>
          <w:bCs/>
          <w:color w:val="auto"/>
          <w:sz w:val="21"/>
          <w:szCs w:val="21"/>
          <w:highlight w:val="none"/>
          <w:lang w:val="en-US" w:eastAsia="zh-CN"/>
        </w:rPr>
        <w:t>：</w:t>
      </w:r>
      <w:bookmarkStart w:id="16" w:name="_GoBack"/>
      <w:bookmarkEnd w:id="16"/>
    </w:p>
    <w:tbl>
      <w:tblPr>
        <w:tblStyle w:val="7"/>
        <w:tblpPr w:leftFromText="180" w:rightFromText="180" w:vertAnchor="text" w:horzAnchor="page" w:tblpX="1667" w:tblpY="283"/>
        <w:tblOverlap w:val="never"/>
        <w:tblW w:w="8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1"/>
        <w:gridCol w:w="1596"/>
        <w:gridCol w:w="5"/>
        <w:gridCol w:w="236"/>
        <w:gridCol w:w="1374"/>
        <w:gridCol w:w="1468"/>
        <w:gridCol w:w="1570"/>
        <w:gridCol w:w="1380"/>
      </w:tblGrid>
      <w:tr w14:paraId="1B3A5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191" w:type="dxa"/>
            <w:noWrap w:val="0"/>
            <w:vAlign w:val="center"/>
          </w:tcPr>
          <w:p w14:paraId="16ED8D38">
            <w:pPr>
              <w:jc w:val="center"/>
              <w:rPr>
                <w:rFonts w:hint="eastAsia" w:ascii="宋体" w:hAnsi="宋体" w:eastAsia="宋体" w:cs="宋体"/>
                <w:sz w:val="21"/>
                <w:szCs w:val="21"/>
              </w:rPr>
            </w:pPr>
            <w:r>
              <w:rPr>
                <w:rFonts w:hint="eastAsia" w:ascii="宋体" w:hAnsi="宋体" w:eastAsia="宋体" w:cs="宋体"/>
                <w:sz w:val="21"/>
                <w:szCs w:val="21"/>
              </w:rPr>
              <w:t>货物名称</w:t>
            </w:r>
          </w:p>
        </w:tc>
        <w:tc>
          <w:tcPr>
            <w:tcW w:w="1596" w:type="dxa"/>
            <w:noWrap w:val="0"/>
            <w:vAlign w:val="center"/>
          </w:tcPr>
          <w:p w14:paraId="4C5B7478">
            <w:pPr>
              <w:jc w:val="center"/>
              <w:rPr>
                <w:rFonts w:hint="eastAsia" w:ascii="宋体" w:hAnsi="宋体" w:eastAsia="宋体" w:cs="宋体"/>
                <w:sz w:val="21"/>
                <w:szCs w:val="21"/>
              </w:rPr>
            </w:pPr>
          </w:p>
        </w:tc>
        <w:tc>
          <w:tcPr>
            <w:tcW w:w="1615" w:type="dxa"/>
            <w:gridSpan w:val="3"/>
            <w:noWrap w:val="0"/>
            <w:vAlign w:val="center"/>
          </w:tcPr>
          <w:p w14:paraId="62550199">
            <w:pPr>
              <w:jc w:val="center"/>
              <w:rPr>
                <w:rFonts w:hint="eastAsia" w:ascii="宋体" w:hAnsi="宋体" w:eastAsia="宋体" w:cs="宋体"/>
                <w:sz w:val="21"/>
                <w:szCs w:val="21"/>
              </w:rPr>
            </w:pPr>
            <w:r>
              <w:rPr>
                <w:rFonts w:hint="eastAsia" w:ascii="宋体" w:hAnsi="宋体" w:eastAsia="宋体" w:cs="宋体"/>
                <w:sz w:val="21"/>
                <w:szCs w:val="21"/>
              </w:rPr>
              <w:t>供应商名称</w:t>
            </w:r>
          </w:p>
        </w:tc>
        <w:tc>
          <w:tcPr>
            <w:tcW w:w="4418" w:type="dxa"/>
            <w:gridSpan w:val="3"/>
            <w:noWrap w:val="0"/>
            <w:vAlign w:val="center"/>
          </w:tcPr>
          <w:p w14:paraId="3EAC1148">
            <w:pPr>
              <w:jc w:val="center"/>
              <w:rPr>
                <w:rFonts w:hint="eastAsia" w:ascii="宋体" w:hAnsi="宋体" w:eastAsia="宋体" w:cs="宋体"/>
                <w:sz w:val="21"/>
                <w:szCs w:val="21"/>
              </w:rPr>
            </w:pPr>
          </w:p>
        </w:tc>
      </w:tr>
      <w:tr w14:paraId="48F9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191" w:type="dxa"/>
            <w:noWrap w:val="0"/>
            <w:vAlign w:val="center"/>
          </w:tcPr>
          <w:p w14:paraId="6582D063">
            <w:pPr>
              <w:jc w:val="center"/>
              <w:rPr>
                <w:rFonts w:hint="eastAsia" w:ascii="宋体" w:hAnsi="宋体" w:eastAsia="宋体" w:cs="宋体"/>
                <w:sz w:val="21"/>
                <w:szCs w:val="21"/>
              </w:rPr>
            </w:pPr>
            <w:r>
              <w:rPr>
                <w:rFonts w:hint="eastAsia" w:ascii="宋体" w:hAnsi="宋体" w:eastAsia="宋体" w:cs="宋体"/>
                <w:sz w:val="21"/>
                <w:szCs w:val="21"/>
              </w:rPr>
              <w:t>序号</w:t>
            </w:r>
          </w:p>
        </w:tc>
        <w:tc>
          <w:tcPr>
            <w:tcW w:w="6249" w:type="dxa"/>
            <w:gridSpan w:val="6"/>
            <w:noWrap w:val="0"/>
            <w:vAlign w:val="center"/>
          </w:tcPr>
          <w:p w14:paraId="0D065234">
            <w:pPr>
              <w:jc w:val="center"/>
              <w:rPr>
                <w:rFonts w:hint="eastAsia" w:ascii="宋体" w:hAnsi="宋体" w:eastAsia="宋体" w:cs="宋体"/>
                <w:sz w:val="21"/>
                <w:szCs w:val="21"/>
              </w:rPr>
            </w:pPr>
            <w:r>
              <w:rPr>
                <w:rFonts w:hint="eastAsia" w:ascii="宋体" w:hAnsi="宋体" w:eastAsia="宋体" w:cs="宋体"/>
                <w:sz w:val="21"/>
                <w:szCs w:val="21"/>
              </w:rPr>
              <w:t>考核项目</w:t>
            </w:r>
          </w:p>
        </w:tc>
        <w:tc>
          <w:tcPr>
            <w:tcW w:w="1380" w:type="dxa"/>
            <w:noWrap w:val="0"/>
            <w:vAlign w:val="center"/>
          </w:tcPr>
          <w:p w14:paraId="6B745AB0">
            <w:pPr>
              <w:jc w:val="center"/>
              <w:rPr>
                <w:rFonts w:hint="eastAsia" w:ascii="宋体" w:hAnsi="宋体" w:eastAsia="宋体" w:cs="宋体"/>
                <w:sz w:val="21"/>
                <w:szCs w:val="21"/>
              </w:rPr>
            </w:pPr>
            <w:r>
              <w:rPr>
                <w:rFonts w:hint="eastAsia" w:ascii="宋体" w:hAnsi="宋体" w:eastAsia="宋体" w:cs="宋体"/>
                <w:sz w:val="21"/>
                <w:szCs w:val="21"/>
              </w:rPr>
              <w:t>扣分</w:t>
            </w:r>
          </w:p>
        </w:tc>
      </w:tr>
      <w:tr w14:paraId="0A7A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191" w:type="dxa"/>
            <w:vMerge w:val="restart"/>
            <w:noWrap w:val="0"/>
            <w:vAlign w:val="center"/>
          </w:tcPr>
          <w:p w14:paraId="6AD7D875">
            <w:pPr>
              <w:jc w:val="center"/>
              <w:rPr>
                <w:rFonts w:hint="eastAsia" w:ascii="宋体" w:hAnsi="宋体" w:eastAsia="宋体" w:cs="宋体"/>
                <w:sz w:val="21"/>
                <w:szCs w:val="21"/>
              </w:rPr>
            </w:pPr>
            <w:r>
              <w:rPr>
                <w:rFonts w:hint="eastAsia" w:ascii="宋体" w:hAnsi="宋体" w:eastAsia="宋体" w:cs="宋体"/>
                <w:sz w:val="21"/>
                <w:szCs w:val="21"/>
              </w:rPr>
              <w:t>一</w:t>
            </w:r>
          </w:p>
        </w:tc>
        <w:tc>
          <w:tcPr>
            <w:tcW w:w="1596" w:type="dxa"/>
            <w:vMerge w:val="restart"/>
            <w:noWrap w:val="0"/>
            <w:vAlign w:val="center"/>
          </w:tcPr>
          <w:p w14:paraId="4792ABE6">
            <w:pPr>
              <w:jc w:val="center"/>
              <w:rPr>
                <w:rFonts w:hint="eastAsia" w:ascii="宋体" w:hAnsi="宋体" w:eastAsia="宋体" w:cs="宋体"/>
                <w:sz w:val="21"/>
                <w:szCs w:val="21"/>
              </w:rPr>
            </w:pPr>
            <w:r>
              <w:rPr>
                <w:rFonts w:hint="eastAsia" w:ascii="宋体" w:hAnsi="宋体" w:eastAsia="宋体" w:cs="宋体"/>
                <w:sz w:val="21"/>
                <w:szCs w:val="21"/>
              </w:rPr>
              <w:t>产品质量</w:t>
            </w:r>
          </w:p>
          <w:p w14:paraId="49C736E5">
            <w:pPr>
              <w:jc w:val="center"/>
              <w:rPr>
                <w:rFonts w:hint="eastAsia" w:ascii="宋体" w:hAnsi="宋体" w:eastAsia="宋体" w:cs="宋体"/>
                <w:sz w:val="21"/>
                <w:szCs w:val="21"/>
              </w:rPr>
            </w:pPr>
            <w:r>
              <w:rPr>
                <w:rFonts w:hint="eastAsia" w:ascii="宋体" w:hAnsi="宋体" w:eastAsia="宋体" w:cs="宋体"/>
                <w:sz w:val="21"/>
                <w:szCs w:val="21"/>
              </w:rPr>
              <w:t>(总分</w:t>
            </w:r>
            <w:r>
              <w:rPr>
                <w:rFonts w:hint="eastAsia" w:ascii="宋体" w:hAnsi="宋体" w:cs="宋体"/>
                <w:sz w:val="21"/>
                <w:szCs w:val="21"/>
                <w:lang w:val="en-US" w:eastAsia="zh-CN"/>
              </w:rPr>
              <w:t>60</w:t>
            </w:r>
            <w:r>
              <w:rPr>
                <w:rFonts w:hint="eastAsia" w:ascii="宋体" w:hAnsi="宋体" w:eastAsia="宋体" w:cs="宋体"/>
                <w:sz w:val="21"/>
                <w:szCs w:val="21"/>
              </w:rPr>
              <w:t>分)</w:t>
            </w:r>
          </w:p>
        </w:tc>
        <w:tc>
          <w:tcPr>
            <w:tcW w:w="4653" w:type="dxa"/>
            <w:gridSpan w:val="5"/>
            <w:noWrap w:val="0"/>
            <w:vAlign w:val="center"/>
          </w:tcPr>
          <w:p w14:paraId="79FCFBDC">
            <w:pPr>
              <w:jc w:val="both"/>
              <w:rPr>
                <w:rFonts w:hint="eastAsia" w:ascii="宋体" w:hAnsi="宋体" w:eastAsia="宋体" w:cs="宋体"/>
                <w:sz w:val="21"/>
                <w:szCs w:val="21"/>
                <w:lang w:val="en-US" w:eastAsia="zh-CN"/>
              </w:rPr>
            </w:pPr>
            <w:r>
              <w:rPr>
                <w:rFonts w:hint="eastAsia" w:ascii="宋体" w:hAnsi="宋体" w:eastAsia="宋体" w:cs="宋体"/>
                <w:sz w:val="21"/>
                <w:szCs w:val="21"/>
              </w:rPr>
              <w:t>到货产品经检验确认为不合格，发生一次扣</w:t>
            </w:r>
            <w:r>
              <w:rPr>
                <w:rFonts w:hint="eastAsia" w:ascii="宋体" w:hAnsi="宋体" w:cs="宋体"/>
                <w:sz w:val="21"/>
                <w:szCs w:val="21"/>
                <w:lang w:val="en-US" w:eastAsia="zh-CN"/>
              </w:rPr>
              <w:t>10</w:t>
            </w:r>
            <w:r>
              <w:rPr>
                <w:rFonts w:hint="eastAsia" w:ascii="宋体" w:hAnsi="宋体" w:eastAsia="宋体" w:cs="宋体"/>
                <w:sz w:val="21"/>
                <w:szCs w:val="21"/>
              </w:rPr>
              <w:t>分</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扣完为止。</w:t>
            </w:r>
          </w:p>
        </w:tc>
        <w:tc>
          <w:tcPr>
            <w:tcW w:w="1380" w:type="dxa"/>
            <w:noWrap w:val="0"/>
            <w:vAlign w:val="center"/>
          </w:tcPr>
          <w:p w14:paraId="114B3968">
            <w:pPr>
              <w:jc w:val="center"/>
              <w:rPr>
                <w:rFonts w:hint="eastAsia" w:ascii="宋体" w:hAnsi="宋体" w:eastAsia="宋体" w:cs="宋体"/>
                <w:sz w:val="21"/>
                <w:szCs w:val="21"/>
              </w:rPr>
            </w:pPr>
          </w:p>
        </w:tc>
      </w:tr>
      <w:tr w14:paraId="62122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191" w:type="dxa"/>
            <w:vMerge w:val="continue"/>
            <w:noWrap w:val="0"/>
            <w:vAlign w:val="center"/>
          </w:tcPr>
          <w:p w14:paraId="74A19341">
            <w:pPr>
              <w:jc w:val="center"/>
              <w:rPr>
                <w:rFonts w:hint="eastAsia" w:ascii="宋体" w:hAnsi="宋体" w:eastAsia="宋体" w:cs="宋体"/>
                <w:sz w:val="21"/>
                <w:szCs w:val="21"/>
              </w:rPr>
            </w:pPr>
          </w:p>
        </w:tc>
        <w:tc>
          <w:tcPr>
            <w:tcW w:w="1596" w:type="dxa"/>
            <w:vMerge w:val="continue"/>
            <w:noWrap w:val="0"/>
            <w:vAlign w:val="center"/>
          </w:tcPr>
          <w:p w14:paraId="2D5CBA2A">
            <w:pPr>
              <w:jc w:val="center"/>
              <w:rPr>
                <w:rFonts w:hint="eastAsia" w:ascii="宋体" w:hAnsi="宋体" w:eastAsia="宋体" w:cs="宋体"/>
                <w:sz w:val="21"/>
                <w:szCs w:val="21"/>
              </w:rPr>
            </w:pPr>
          </w:p>
        </w:tc>
        <w:tc>
          <w:tcPr>
            <w:tcW w:w="4653" w:type="dxa"/>
            <w:gridSpan w:val="5"/>
            <w:noWrap w:val="0"/>
            <w:vAlign w:val="center"/>
          </w:tcPr>
          <w:p w14:paraId="486A1EBE">
            <w:pPr>
              <w:jc w:val="both"/>
              <w:rPr>
                <w:rFonts w:hint="eastAsia" w:ascii="宋体" w:hAnsi="宋体" w:eastAsia="宋体" w:cs="宋体"/>
                <w:sz w:val="21"/>
                <w:szCs w:val="21"/>
              </w:rPr>
            </w:pPr>
            <w:r>
              <w:rPr>
                <w:rFonts w:hint="eastAsia" w:ascii="宋体" w:hAnsi="宋体" w:eastAsia="宋体" w:cs="宋体"/>
                <w:sz w:val="21"/>
                <w:szCs w:val="21"/>
                <w:lang w:val="en-US" w:eastAsia="zh-CN"/>
              </w:rPr>
              <w:t>因</w:t>
            </w:r>
            <w:r>
              <w:rPr>
                <w:rFonts w:hint="eastAsia" w:ascii="宋体" w:hAnsi="宋体" w:eastAsia="宋体" w:cs="宋体"/>
                <w:sz w:val="21"/>
                <w:szCs w:val="21"/>
              </w:rPr>
              <w:t>到货产品</w:t>
            </w:r>
            <w:r>
              <w:rPr>
                <w:rFonts w:hint="eastAsia" w:ascii="宋体" w:hAnsi="宋体" w:eastAsia="宋体" w:cs="宋体"/>
                <w:sz w:val="21"/>
                <w:szCs w:val="21"/>
                <w:lang w:val="en-US" w:eastAsia="zh-CN"/>
              </w:rPr>
              <w:t>质量不合格，</w:t>
            </w:r>
            <w:r>
              <w:rPr>
                <w:rFonts w:hint="eastAsia" w:ascii="宋体" w:hAnsi="宋体" w:eastAsia="宋体" w:cs="宋体"/>
                <w:sz w:val="21"/>
                <w:szCs w:val="21"/>
              </w:rPr>
              <w:t>影响</w:t>
            </w:r>
            <w:r>
              <w:rPr>
                <w:rFonts w:hint="eastAsia" w:ascii="宋体" w:hAnsi="宋体" w:eastAsia="宋体" w:cs="宋体"/>
                <w:sz w:val="21"/>
                <w:szCs w:val="21"/>
                <w:lang w:val="en-US" w:eastAsia="zh-CN"/>
              </w:rPr>
              <w:t>工作进度</w:t>
            </w:r>
            <w:r>
              <w:rPr>
                <w:rFonts w:hint="eastAsia" w:ascii="宋体" w:hAnsi="宋体" w:eastAsia="宋体" w:cs="宋体"/>
                <w:sz w:val="21"/>
                <w:szCs w:val="21"/>
              </w:rPr>
              <w:t>的扣</w:t>
            </w:r>
            <w:r>
              <w:rPr>
                <w:rFonts w:hint="eastAsia" w:ascii="宋体" w:hAnsi="宋体" w:cs="宋体"/>
                <w:sz w:val="21"/>
                <w:szCs w:val="21"/>
                <w:lang w:val="en-US" w:eastAsia="zh-CN"/>
              </w:rPr>
              <w:t>20</w:t>
            </w:r>
            <w:r>
              <w:rPr>
                <w:rFonts w:hint="eastAsia" w:ascii="宋体" w:hAnsi="宋体" w:eastAsia="宋体" w:cs="宋体"/>
                <w:sz w:val="21"/>
                <w:szCs w:val="21"/>
              </w:rPr>
              <w:t>分。</w:t>
            </w:r>
          </w:p>
        </w:tc>
        <w:tc>
          <w:tcPr>
            <w:tcW w:w="1380" w:type="dxa"/>
            <w:noWrap w:val="0"/>
            <w:vAlign w:val="center"/>
          </w:tcPr>
          <w:p w14:paraId="78AB728D">
            <w:pPr>
              <w:jc w:val="center"/>
              <w:rPr>
                <w:rFonts w:hint="eastAsia" w:ascii="宋体" w:hAnsi="宋体" w:eastAsia="宋体" w:cs="宋体"/>
                <w:sz w:val="21"/>
                <w:szCs w:val="21"/>
              </w:rPr>
            </w:pPr>
          </w:p>
        </w:tc>
      </w:tr>
      <w:tr w14:paraId="6DC0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191" w:type="dxa"/>
            <w:vMerge w:val="continue"/>
            <w:noWrap w:val="0"/>
            <w:vAlign w:val="center"/>
          </w:tcPr>
          <w:p w14:paraId="19C9CC02">
            <w:pPr>
              <w:jc w:val="center"/>
              <w:rPr>
                <w:rFonts w:hint="eastAsia" w:ascii="宋体" w:hAnsi="宋体" w:eastAsia="宋体" w:cs="宋体"/>
                <w:sz w:val="21"/>
                <w:szCs w:val="21"/>
              </w:rPr>
            </w:pPr>
          </w:p>
        </w:tc>
        <w:tc>
          <w:tcPr>
            <w:tcW w:w="1596" w:type="dxa"/>
            <w:vMerge w:val="continue"/>
            <w:noWrap w:val="0"/>
            <w:vAlign w:val="center"/>
          </w:tcPr>
          <w:p w14:paraId="1E9F68EF">
            <w:pPr>
              <w:jc w:val="center"/>
              <w:rPr>
                <w:rFonts w:hint="eastAsia" w:ascii="宋体" w:hAnsi="宋体" w:eastAsia="宋体" w:cs="宋体"/>
                <w:sz w:val="21"/>
                <w:szCs w:val="21"/>
              </w:rPr>
            </w:pPr>
          </w:p>
        </w:tc>
        <w:tc>
          <w:tcPr>
            <w:tcW w:w="4653" w:type="dxa"/>
            <w:gridSpan w:val="5"/>
            <w:noWrap w:val="0"/>
            <w:vAlign w:val="center"/>
          </w:tcPr>
          <w:p w14:paraId="16428BA4">
            <w:pPr>
              <w:jc w:val="both"/>
              <w:rPr>
                <w:rFonts w:hint="eastAsia" w:ascii="宋体" w:hAnsi="宋体" w:eastAsia="宋体" w:cs="宋体"/>
                <w:sz w:val="21"/>
                <w:szCs w:val="21"/>
              </w:rPr>
            </w:pPr>
            <w:r>
              <w:rPr>
                <w:rFonts w:hint="eastAsia" w:ascii="宋体" w:hAnsi="宋体" w:cs="宋体"/>
                <w:sz w:val="21"/>
                <w:szCs w:val="21"/>
                <w:lang w:val="en-US" w:eastAsia="zh-CN"/>
              </w:rPr>
              <w:t xml:space="preserve"> </w:t>
            </w:r>
            <w:r>
              <w:rPr>
                <w:rFonts w:hint="eastAsia" w:ascii="宋体" w:hAnsi="宋体" w:eastAsia="宋体" w:cs="宋体"/>
                <w:sz w:val="21"/>
                <w:szCs w:val="21"/>
              </w:rPr>
              <w:t>产品在使用过程中发生质量问题的</w:t>
            </w:r>
            <w:r>
              <w:rPr>
                <w:rFonts w:hint="eastAsia" w:ascii="宋体" w:hAnsi="宋体" w:eastAsia="宋体" w:cs="宋体"/>
                <w:sz w:val="21"/>
                <w:szCs w:val="21"/>
                <w:lang w:val="en-US" w:eastAsia="zh-CN"/>
              </w:rPr>
              <w:t>退换货不及时</w:t>
            </w:r>
            <w:r>
              <w:rPr>
                <w:rFonts w:hint="eastAsia" w:ascii="宋体" w:hAnsi="宋体" w:eastAsia="宋体" w:cs="宋体"/>
                <w:sz w:val="21"/>
                <w:szCs w:val="21"/>
              </w:rPr>
              <w:t>一次扣</w:t>
            </w:r>
            <w:r>
              <w:rPr>
                <w:rFonts w:hint="eastAsia" w:ascii="宋体" w:hAnsi="宋体" w:cs="宋体"/>
                <w:sz w:val="21"/>
                <w:szCs w:val="21"/>
                <w:lang w:val="en-US" w:eastAsia="zh-CN"/>
              </w:rPr>
              <w:t>10</w:t>
            </w:r>
            <w:r>
              <w:rPr>
                <w:rFonts w:hint="eastAsia" w:ascii="宋体" w:hAnsi="宋体" w:eastAsia="宋体" w:cs="宋体"/>
                <w:sz w:val="21"/>
                <w:szCs w:val="21"/>
              </w:rPr>
              <w:t>分，扣完为止。</w:t>
            </w:r>
          </w:p>
        </w:tc>
        <w:tc>
          <w:tcPr>
            <w:tcW w:w="1380" w:type="dxa"/>
            <w:noWrap w:val="0"/>
            <w:vAlign w:val="center"/>
          </w:tcPr>
          <w:p w14:paraId="1AC2B461">
            <w:pPr>
              <w:jc w:val="center"/>
              <w:rPr>
                <w:rFonts w:hint="eastAsia" w:ascii="宋体" w:hAnsi="宋体" w:eastAsia="宋体" w:cs="宋体"/>
                <w:sz w:val="21"/>
                <w:szCs w:val="21"/>
              </w:rPr>
            </w:pPr>
          </w:p>
        </w:tc>
      </w:tr>
      <w:tr w14:paraId="4687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1191" w:type="dxa"/>
            <w:vMerge w:val="restart"/>
            <w:noWrap w:val="0"/>
            <w:vAlign w:val="center"/>
          </w:tcPr>
          <w:p w14:paraId="04A90CFA">
            <w:pPr>
              <w:jc w:val="center"/>
              <w:rPr>
                <w:rFonts w:hint="eastAsia" w:ascii="宋体" w:hAnsi="宋体" w:eastAsia="宋体" w:cs="宋体"/>
                <w:sz w:val="21"/>
                <w:szCs w:val="21"/>
              </w:rPr>
            </w:pPr>
            <w:r>
              <w:rPr>
                <w:rFonts w:hint="eastAsia" w:ascii="宋体" w:hAnsi="宋体" w:eastAsia="宋体" w:cs="宋体"/>
                <w:sz w:val="21"/>
                <w:szCs w:val="21"/>
              </w:rPr>
              <w:t>二</w:t>
            </w:r>
          </w:p>
        </w:tc>
        <w:tc>
          <w:tcPr>
            <w:tcW w:w="1596" w:type="dxa"/>
            <w:vMerge w:val="restart"/>
            <w:noWrap w:val="0"/>
            <w:vAlign w:val="center"/>
          </w:tcPr>
          <w:p w14:paraId="201D8F6B">
            <w:pPr>
              <w:jc w:val="center"/>
              <w:rPr>
                <w:rFonts w:hint="eastAsia" w:ascii="宋体" w:hAnsi="宋体" w:eastAsia="宋体" w:cs="宋体"/>
                <w:sz w:val="21"/>
                <w:szCs w:val="21"/>
              </w:rPr>
            </w:pPr>
            <w:r>
              <w:rPr>
                <w:rFonts w:hint="eastAsia" w:ascii="宋体" w:hAnsi="宋体" w:eastAsia="宋体" w:cs="宋体"/>
                <w:sz w:val="21"/>
                <w:szCs w:val="21"/>
              </w:rPr>
              <w:t>交货能力（总分</w:t>
            </w:r>
            <w:r>
              <w:rPr>
                <w:rFonts w:hint="eastAsia" w:ascii="宋体" w:hAnsi="宋体" w:cs="宋体"/>
                <w:sz w:val="21"/>
                <w:szCs w:val="21"/>
                <w:lang w:val="en-US" w:eastAsia="zh-CN"/>
              </w:rPr>
              <w:t>20</w:t>
            </w:r>
            <w:r>
              <w:rPr>
                <w:rFonts w:hint="eastAsia" w:ascii="宋体" w:hAnsi="宋体" w:eastAsia="宋体" w:cs="宋体"/>
                <w:sz w:val="21"/>
                <w:szCs w:val="21"/>
              </w:rPr>
              <w:t>分)</w:t>
            </w:r>
          </w:p>
        </w:tc>
        <w:tc>
          <w:tcPr>
            <w:tcW w:w="4653" w:type="dxa"/>
            <w:gridSpan w:val="5"/>
            <w:noWrap w:val="0"/>
            <w:vAlign w:val="center"/>
          </w:tcPr>
          <w:p w14:paraId="74FB4C27">
            <w:pPr>
              <w:jc w:val="both"/>
              <w:rPr>
                <w:rFonts w:hint="eastAsia" w:ascii="宋体" w:hAnsi="宋体" w:eastAsia="宋体" w:cs="宋体"/>
                <w:sz w:val="21"/>
                <w:szCs w:val="21"/>
              </w:rPr>
            </w:pPr>
            <w:r>
              <w:rPr>
                <w:rFonts w:hint="eastAsia" w:ascii="宋体" w:hAnsi="宋体" w:eastAsia="宋体" w:cs="宋体"/>
                <w:sz w:val="21"/>
                <w:szCs w:val="21"/>
              </w:rPr>
              <w:t>未按合同约定的交货周期交货的，每发生一次扣5分;影响</w:t>
            </w:r>
            <w:r>
              <w:rPr>
                <w:rFonts w:hint="eastAsia" w:ascii="宋体" w:hAnsi="宋体" w:eastAsia="宋体" w:cs="宋体"/>
                <w:sz w:val="21"/>
                <w:szCs w:val="21"/>
                <w:lang w:val="en-US" w:eastAsia="zh-CN"/>
              </w:rPr>
              <w:t>工作</w:t>
            </w:r>
            <w:r>
              <w:rPr>
                <w:rFonts w:hint="eastAsia" w:ascii="宋体" w:hAnsi="宋体" w:eastAsia="宋体" w:cs="宋体"/>
                <w:sz w:val="21"/>
                <w:szCs w:val="21"/>
              </w:rPr>
              <w:t>进度的每次扣</w:t>
            </w:r>
            <w:r>
              <w:rPr>
                <w:rFonts w:hint="eastAsia" w:ascii="宋体" w:hAnsi="宋体" w:cs="宋体"/>
                <w:sz w:val="21"/>
                <w:szCs w:val="21"/>
                <w:lang w:val="en-US" w:eastAsia="zh-CN"/>
              </w:rPr>
              <w:t>1</w:t>
            </w:r>
            <w:r>
              <w:rPr>
                <w:rFonts w:hint="eastAsia" w:ascii="宋体" w:hAnsi="宋体" w:eastAsia="宋体" w:cs="宋体"/>
                <w:sz w:val="21"/>
                <w:szCs w:val="21"/>
              </w:rPr>
              <w:t>分，扣完为止.</w:t>
            </w:r>
          </w:p>
        </w:tc>
        <w:tc>
          <w:tcPr>
            <w:tcW w:w="1380" w:type="dxa"/>
            <w:noWrap w:val="0"/>
            <w:vAlign w:val="center"/>
          </w:tcPr>
          <w:p w14:paraId="4EA63996">
            <w:pPr>
              <w:jc w:val="center"/>
              <w:rPr>
                <w:rFonts w:hint="eastAsia" w:ascii="宋体" w:hAnsi="宋体" w:eastAsia="宋体" w:cs="宋体"/>
                <w:sz w:val="21"/>
                <w:szCs w:val="21"/>
              </w:rPr>
            </w:pPr>
          </w:p>
        </w:tc>
      </w:tr>
      <w:tr w14:paraId="57055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191" w:type="dxa"/>
            <w:vMerge w:val="continue"/>
            <w:noWrap w:val="0"/>
            <w:vAlign w:val="center"/>
          </w:tcPr>
          <w:p w14:paraId="6CD444DD">
            <w:pPr>
              <w:jc w:val="center"/>
              <w:rPr>
                <w:rFonts w:hint="eastAsia" w:ascii="宋体" w:hAnsi="宋体" w:eastAsia="宋体" w:cs="宋体"/>
                <w:sz w:val="21"/>
                <w:szCs w:val="21"/>
              </w:rPr>
            </w:pPr>
          </w:p>
        </w:tc>
        <w:tc>
          <w:tcPr>
            <w:tcW w:w="1596" w:type="dxa"/>
            <w:vMerge w:val="continue"/>
            <w:noWrap w:val="0"/>
            <w:vAlign w:val="center"/>
          </w:tcPr>
          <w:p w14:paraId="6BE93EE4">
            <w:pPr>
              <w:jc w:val="center"/>
              <w:rPr>
                <w:rFonts w:hint="eastAsia" w:ascii="宋体" w:hAnsi="宋体" w:eastAsia="宋体" w:cs="宋体"/>
                <w:sz w:val="21"/>
                <w:szCs w:val="21"/>
              </w:rPr>
            </w:pPr>
          </w:p>
        </w:tc>
        <w:tc>
          <w:tcPr>
            <w:tcW w:w="4653" w:type="dxa"/>
            <w:gridSpan w:val="5"/>
            <w:noWrap w:val="0"/>
            <w:vAlign w:val="center"/>
          </w:tcPr>
          <w:p w14:paraId="0B0CEC3A">
            <w:pPr>
              <w:jc w:val="both"/>
              <w:rPr>
                <w:rFonts w:hint="eastAsia" w:ascii="宋体" w:hAnsi="宋体" w:eastAsia="宋体" w:cs="宋体"/>
                <w:sz w:val="21"/>
                <w:szCs w:val="21"/>
              </w:rPr>
            </w:pPr>
            <w:r>
              <w:rPr>
                <w:rFonts w:hint="eastAsia" w:ascii="宋体" w:hAnsi="宋体" w:eastAsia="宋体" w:cs="宋体"/>
                <w:sz w:val="21"/>
                <w:szCs w:val="21"/>
              </w:rPr>
              <w:t>增减订货不能积极响应和立即执行的，</w:t>
            </w:r>
            <w:r>
              <w:rPr>
                <w:rFonts w:hint="eastAsia" w:ascii="宋体" w:hAnsi="宋体" w:eastAsia="宋体" w:cs="宋体"/>
                <w:sz w:val="21"/>
                <w:szCs w:val="21"/>
                <w:lang w:val="en-US" w:eastAsia="zh-CN"/>
              </w:rPr>
              <w:t>每</w:t>
            </w:r>
            <w:r>
              <w:rPr>
                <w:rFonts w:hint="eastAsia" w:ascii="宋体" w:hAnsi="宋体" w:eastAsia="宋体" w:cs="宋体"/>
                <w:sz w:val="21"/>
                <w:szCs w:val="21"/>
              </w:rPr>
              <w:t>发生一次扣1分;不执行的扣5分。</w:t>
            </w:r>
          </w:p>
        </w:tc>
        <w:tc>
          <w:tcPr>
            <w:tcW w:w="1380" w:type="dxa"/>
            <w:noWrap w:val="0"/>
            <w:vAlign w:val="center"/>
          </w:tcPr>
          <w:p w14:paraId="770AA410">
            <w:pPr>
              <w:jc w:val="center"/>
              <w:rPr>
                <w:rFonts w:hint="eastAsia" w:ascii="宋体" w:hAnsi="宋体" w:eastAsia="宋体" w:cs="宋体"/>
                <w:sz w:val="21"/>
                <w:szCs w:val="21"/>
              </w:rPr>
            </w:pPr>
          </w:p>
        </w:tc>
      </w:tr>
      <w:tr w14:paraId="4F01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191" w:type="dxa"/>
            <w:vMerge w:val="continue"/>
            <w:noWrap w:val="0"/>
            <w:vAlign w:val="center"/>
          </w:tcPr>
          <w:p w14:paraId="368F9402">
            <w:pPr>
              <w:jc w:val="center"/>
              <w:rPr>
                <w:rFonts w:hint="eastAsia" w:ascii="宋体" w:hAnsi="宋体" w:eastAsia="宋体" w:cs="宋体"/>
                <w:sz w:val="21"/>
                <w:szCs w:val="21"/>
              </w:rPr>
            </w:pPr>
          </w:p>
        </w:tc>
        <w:tc>
          <w:tcPr>
            <w:tcW w:w="1596" w:type="dxa"/>
            <w:vMerge w:val="continue"/>
            <w:noWrap w:val="0"/>
            <w:vAlign w:val="center"/>
          </w:tcPr>
          <w:p w14:paraId="09404C27">
            <w:pPr>
              <w:jc w:val="center"/>
              <w:rPr>
                <w:rFonts w:hint="eastAsia" w:ascii="宋体" w:hAnsi="宋体" w:eastAsia="宋体" w:cs="宋体"/>
                <w:sz w:val="21"/>
                <w:szCs w:val="21"/>
              </w:rPr>
            </w:pPr>
          </w:p>
        </w:tc>
        <w:tc>
          <w:tcPr>
            <w:tcW w:w="4653" w:type="dxa"/>
            <w:gridSpan w:val="5"/>
            <w:noWrap w:val="0"/>
            <w:vAlign w:val="center"/>
          </w:tcPr>
          <w:p w14:paraId="1A0F14CA">
            <w:pPr>
              <w:jc w:val="both"/>
              <w:rPr>
                <w:rFonts w:hint="eastAsia" w:ascii="宋体" w:hAnsi="宋体" w:eastAsia="宋体" w:cs="宋体"/>
                <w:sz w:val="21"/>
                <w:szCs w:val="21"/>
              </w:rPr>
            </w:pPr>
            <w:r>
              <w:rPr>
                <w:rFonts w:hint="eastAsia" w:ascii="宋体" w:hAnsi="宋体" w:eastAsia="宋体" w:cs="宋体"/>
                <w:sz w:val="21"/>
                <w:szCs w:val="21"/>
              </w:rPr>
              <w:t>遇零星或紧急订货时不能及时配合和解决的，一次扣1分，扣完为止。</w:t>
            </w:r>
          </w:p>
        </w:tc>
        <w:tc>
          <w:tcPr>
            <w:tcW w:w="1380" w:type="dxa"/>
            <w:noWrap w:val="0"/>
            <w:vAlign w:val="center"/>
          </w:tcPr>
          <w:p w14:paraId="5052CF54">
            <w:pPr>
              <w:jc w:val="center"/>
              <w:rPr>
                <w:rFonts w:hint="eastAsia" w:ascii="宋体" w:hAnsi="宋体" w:eastAsia="宋体" w:cs="宋体"/>
                <w:sz w:val="21"/>
                <w:szCs w:val="21"/>
              </w:rPr>
            </w:pPr>
          </w:p>
        </w:tc>
      </w:tr>
      <w:tr w14:paraId="401A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191" w:type="dxa"/>
            <w:vMerge w:val="continue"/>
            <w:noWrap w:val="0"/>
            <w:vAlign w:val="center"/>
          </w:tcPr>
          <w:p w14:paraId="0B843B9D">
            <w:pPr>
              <w:jc w:val="center"/>
              <w:rPr>
                <w:rFonts w:hint="eastAsia" w:ascii="宋体" w:hAnsi="宋体" w:eastAsia="宋体" w:cs="宋体"/>
                <w:sz w:val="21"/>
                <w:szCs w:val="21"/>
              </w:rPr>
            </w:pPr>
          </w:p>
        </w:tc>
        <w:tc>
          <w:tcPr>
            <w:tcW w:w="1596" w:type="dxa"/>
            <w:vMerge w:val="continue"/>
            <w:noWrap w:val="0"/>
            <w:vAlign w:val="center"/>
          </w:tcPr>
          <w:p w14:paraId="3720759A">
            <w:pPr>
              <w:jc w:val="center"/>
              <w:rPr>
                <w:rFonts w:hint="eastAsia" w:ascii="宋体" w:hAnsi="宋体" w:eastAsia="宋体" w:cs="宋体"/>
                <w:sz w:val="21"/>
                <w:szCs w:val="21"/>
              </w:rPr>
            </w:pPr>
          </w:p>
        </w:tc>
        <w:tc>
          <w:tcPr>
            <w:tcW w:w="4653" w:type="dxa"/>
            <w:gridSpan w:val="5"/>
            <w:noWrap w:val="0"/>
            <w:vAlign w:val="center"/>
          </w:tcPr>
          <w:p w14:paraId="01FC6A28">
            <w:pPr>
              <w:jc w:val="both"/>
              <w:rPr>
                <w:rFonts w:hint="eastAsia" w:ascii="宋体" w:hAnsi="宋体" w:eastAsia="宋体" w:cs="宋体"/>
                <w:sz w:val="21"/>
                <w:szCs w:val="21"/>
              </w:rPr>
            </w:pPr>
            <w:r>
              <w:rPr>
                <w:rFonts w:hint="eastAsia" w:ascii="宋体" w:hAnsi="宋体" w:eastAsia="宋体" w:cs="宋体"/>
                <w:sz w:val="21"/>
                <w:szCs w:val="21"/>
              </w:rPr>
              <w:t>产品到货时</w:t>
            </w:r>
            <w:r>
              <w:rPr>
                <w:rFonts w:hint="eastAsia" w:ascii="宋体" w:hAnsi="宋体" w:eastAsia="宋体" w:cs="宋体"/>
                <w:sz w:val="21"/>
                <w:szCs w:val="21"/>
                <w:lang w:val="en-US" w:eastAsia="zh-CN"/>
              </w:rPr>
              <w:t>要求提供的</w:t>
            </w:r>
            <w:r>
              <w:rPr>
                <w:rFonts w:hint="eastAsia" w:ascii="宋体" w:hAnsi="宋体" w:eastAsia="宋体" w:cs="宋体"/>
                <w:sz w:val="21"/>
                <w:szCs w:val="21"/>
              </w:rPr>
              <w:t>质量说明书、合格证、使用说明书及相关资料</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如果与到货产品不一致时</w:t>
            </w:r>
            <w:r>
              <w:rPr>
                <w:rFonts w:hint="eastAsia" w:ascii="宋体" w:hAnsi="宋体" w:eastAsia="宋体" w:cs="宋体"/>
                <w:sz w:val="21"/>
                <w:szCs w:val="21"/>
              </w:rPr>
              <w:t>一次扣5分，扣完为止。</w:t>
            </w:r>
          </w:p>
        </w:tc>
        <w:tc>
          <w:tcPr>
            <w:tcW w:w="1380" w:type="dxa"/>
            <w:noWrap w:val="0"/>
            <w:vAlign w:val="center"/>
          </w:tcPr>
          <w:p w14:paraId="3DB44CFC">
            <w:pPr>
              <w:jc w:val="center"/>
              <w:rPr>
                <w:rFonts w:hint="eastAsia" w:ascii="宋体" w:hAnsi="宋体" w:eastAsia="宋体" w:cs="宋体"/>
                <w:sz w:val="21"/>
                <w:szCs w:val="21"/>
              </w:rPr>
            </w:pPr>
          </w:p>
        </w:tc>
      </w:tr>
      <w:tr w14:paraId="350B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191" w:type="dxa"/>
            <w:vMerge w:val="continue"/>
            <w:noWrap w:val="0"/>
            <w:vAlign w:val="center"/>
          </w:tcPr>
          <w:p w14:paraId="730CE14A">
            <w:pPr>
              <w:jc w:val="center"/>
              <w:rPr>
                <w:rFonts w:hint="eastAsia" w:ascii="宋体" w:hAnsi="宋体" w:eastAsia="宋体" w:cs="宋体"/>
                <w:sz w:val="21"/>
                <w:szCs w:val="21"/>
              </w:rPr>
            </w:pPr>
          </w:p>
        </w:tc>
        <w:tc>
          <w:tcPr>
            <w:tcW w:w="1596" w:type="dxa"/>
            <w:vMerge w:val="continue"/>
            <w:noWrap w:val="0"/>
            <w:vAlign w:val="center"/>
          </w:tcPr>
          <w:p w14:paraId="3EB9487E">
            <w:pPr>
              <w:jc w:val="center"/>
              <w:rPr>
                <w:rFonts w:hint="eastAsia" w:ascii="宋体" w:hAnsi="宋体" w:eastAsia="宋体" w:cs="宋体"/>
                <w:sz w:val="21"/>
                <w:szCs w:val="21"/>
              </w:rPr>
            </w:pPr>
          </w:p>
        </w:tc>
        <w:tc>
          <w:tcPr>
            <w:tcW w:w="4653" w:type="dxa"/>
            <w:gridSpan w:val="5"/>
            <w:noWrap w:val="0"/>
            <w:vAlign w:val="center"/>
          </w:tcPr>
          <w:p w14:paraId="2E2E12CE">
            <w:pPr>
              <w:jc w:val="center"/>
              <w:rPr>
                <w:rFonts w:hint="eastAsia" w:ascii="宋体" w:hAnsi="宋体" w:eastAsia="宋体" w:cs="宋体"/>
                <w:sz w:val="21"/>
                <w:szCs w:val="21"/>
              </w:rPr>
            </w:pPr>
            <w:r>
              <w:rPr>
                <w:rFonts w:hint="eastAsia" w:ascii="宋体" w:hAnsi="宋体" w:eastAsia="宋体" w:cs="宋体"/>
                <w:sz w:val="21"/>
                <w:szCs w:val="21"/>
              </w:rPr>
              <w:t>交货时未能及时提供交货清单或交货清单与合同约定不一致的，每发生一次扣2分，扣完为止。</w:t>
            </w:r>
          </w:p>
        </w:tc>
        <w:tc>
          <w:tcPr>
            <w:tcW w:w="1380" w:type="dxa"/>
            <w:noWrap w:val="0"/>
            <w:vAlign w:val="center"/>
          </w:tcPr>
          <w:p w14:paraId="5C5E66ED">
            <w:pPr>
              <w:jc w:val="center"/>
              <w:rPr>
                <w:rFonts w:hint="eastAsia" w:ascii="宋体" w:hAnsi="宋体" w:eastAsia="宋体" w:cs="宋体"/>
                <w:sz w:val="21"/>
                <w:szCs w:val="21"/>
              </w:rPr>
            </w:pPr>
          </w:p>
        </w:tc>
      </w:tr>
      <w:tr w14:paraId="00FEB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1191" w:type="dxa"/>
            <w:vMerge w:val="restart"/>
            <w:noWrap w:val="0"/>
            <w:vAlign w:val="center"/>
          </w:tcPr>
          <w:p w14:paraId="4689B5BB">
            <w:pPr>
              <w:jc w:val="center"/>
              <w:rPr>
                <w:rFonts w:hint="eastAsia" w:ascii="宋体" w:hAnsi="宋体" w:eastAsia="宋体" w:cs="宋体"/>
                <w:sz w:val="21"/>
                <w:szCs w:val="21"/>
              </w:rPr>
            </w:pPr>
            <w:r>
              <w:rPr>
                <w:rFonts w:hint="eastAsia" w:ascii="宋体" w:hAnsi="宋体" w:eastAsia="宋体" w:cs="宋体"/>
                <w:sz w:val="21"/>
                <w:szCs w:val="21"/>
              </w:rPr>
              <w:t>三</w:t>
            </w:r>
          </w:p>
        </w:tc>
        <w:tc>
          <w:tcPr>
            <w:tcW w:w="1601" w:type="dxa"/>
            <w:gridSpan w:val="2"/>
            <w:vMerge w:val="restart"/>
            <w:tcBorders>
              <w:bottom w:val="nil"/>
            </w:tcBorders>
            <w:noWrap w:val="0"/>
            <w:vAlign w:val="center"/>
          </w:tcPr>
          <w:p w14:paraId="12CEAAF1">
            <w:pPr>
              <w:jc w:val="center"/>
              <w:rPr>
                <w:rFonts w:hint="eastAsia" w:ascii="宋体" w:hAnsi="宋体" w:eastAsia="宋体" w:cs="宋体"/>
                <w:sz w:val="21"/>
                <w:szCs w:val="21"/>
              </w:rPr>
            </w:pPr>
            <w:r>
              <w:rPr>
                <w:rFonts w:hint="eastAsia" w:ascii="宋体" w:hAnsi="宋体" w:eastAsia="宋体" w:cs="宋体"/>
                <w:sz w:val="21"/>
                <w:szCs w:val="21"/>
              </w:rPr>
              <w:t>售后服务（总分20分)</w:t>
            </w:r>
          </w:p>
        </w:tc>
        <w:tc>
          <w:tcPr>
            <w:tcW w:w="236" w:type="dxa"/>
            <w:tcBorders>
              <w:right w:val="nil"/>
            </w:tcBorders>
            <w:noWrap w:val="0"/>
            <w:vAlign w:val="center"/>
          </w:tcPr>
          <w:p w14:paraId="7FB16EDC">
            <w:pPr>
              <w:jc w:val="both"/>
              <w:rPr>
                <w:rFonts w:hint="eastAsia" w:ascii="宋体" w:hAnsi="宋体" w:eastAsia="宋体" w:cs="宋体"/>
                <w:sz w:val="21"/>
                <w:szCs w:val="21"/>
              </w:rPr>
            </w:pPr>
          </w:p>
        </w:tc>
        <w:tc>
          <w:tcPr>
            <w:tcW w:w="4412" w:type="dxa"/>
            <w:gridSpan w:val="3"/>
            <w:tcBorders>
              <w:left w:val="nil"/>
            </w:tcBorders>
            <w:noWrap w:val="0"/>
            <w:vAlign w:val="center"/>
          </w:tcPr>
          <w:p w14:paraId="5D86B4A5">
            <w:pPr>
              <w:jc w:val="both"/>
              <w:rPr>
                <w:rFonts w:hint="eastAsia" w:ascii="宋体" w:hAnsi="宋体" w:eastAsia="宋体" w:cs="宋体"/>
                <w:sz w:val="21"/>
                <w:szCs w:val="21"/>
              </w:rPr>
            </w:pPr>
            <w:r>
              <w:rPr>
                <w:rFonts w:hint="eastAsia" w:ascii="宋体" w:hAnsi="宋体" w:eastAsia="宋体" w:cs="宋体"/>
                <w:sz w:val="21"/>
                <w:szCs w:val="21"/>
              </w:rPr>
              <w:t>供方在售后服务过程中存在消极行为，服务不周到，不及时或推诿，发生一次扣5分，扣完为止。</w:t>
            </w:r>
          </w:p>
        </w:tc>
        <w:tc>
          <w:tcPr>
            <w:tcW w:w="1380" w:type="dxa"/>
            <w:noWrap w:val="0"/>
            <w:vAlign w:val="center"/>
          </w:tcPr>
          <w:p w14:paraId="6F52FAA6">
            <w:pPr>
              <w:jc w:val="center"/>
              <w:rPr>
                <w:rFonts w:hint="eastAsia" w:ascii="宋体" w:hAnsi="宋体" w:eastAsia="宋体" w:cs="宋体"/>
                <w:sz w:val="21"/>
                <w:szCs w:val="21"/>
              </w:rPr>
            </w:pPr>
          </w:p>
        </w:tc>
      </w:tr>
      <w:tr w14:paraId="44F80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191" w:type="dxa"/>
            <w:vMerge w:val="continue"/>
            <w:noWrap w:val="0"/>
            <w:vAlign w:val="center"/>
          </w:tcPr>
          <w:p w14:paraId="02C6CEFA">
            <w:pPr>
              <w:jc w:val="center"/>
              <w:rPr>
                <w:rFonts w:hint="eastAsia" w:ascii="宋体" w:hAnsi="宋体" w:eastAsia="宋体" w:cs="宋体"/>
                <w:sz w:val="21"/>
                <w:szCs w:val="21"/>
              </w:rPr>
            </w:pPr>
          </w:p>
        </w:tc>
        <w:tc>
          <w:tcPr>
            <w:tcW w:w="1601" w:type="dxa"/>
            <w:gridSpan w:val="2"/>
            <w:vMerge w:val="continue"/>
            <w:tcBorders>
              <w:top w:val="nil"/>
            </w:tcBorders>
            <w:noWrap w:val="0"/>
            <w:vAlign w:val="center"/>
          </w:tcPr>
          <w:p w14:paraId="00171862">
            <w:pPr>
              <w:jc w:val="center"/>
              <w:rPr>
                <w:rFonts w:hint="eastAsia" w:ascii="宋体" w:hAnsi="宋体" w:eastAsia="宋体" w:cs="宋体"/>
                <w:sz w:val="21"/>
                <w:szCs w:val="21"/>
              </w:rPr>
            </w:pPr>
          </w:p>
        </w:tc>
        <w:tc>
          <w:tcPr>
            <w:tcW w:w="236" w:type="dxa"/>
            <w:tcBorders>
              <w:right w:val="nil"/>
            </w:tcBorders>
            <w:noWrap w:val="0"/>
            <w:vAlign w:val="center"/>
          </w:tcPr>
          <w:p w14:paraId="38218D1D">
            <w:pPr>
              <w:jc w:val="both"/>
              <w:rPr>
                <w:rFonts w:hint="eastAsia" w:ascii="宋体" w:hAnsi="宋体" w:eastAsia="宋体" w:cs="宋体"/>
                <w:sz w:val="21"/>
                <w:szCs w:val="21"/>
              </w:rPr>
            </w:pPr>
          </w:p>
        </w:tc>
        <w:tc>
          <w:tcPr>
            <w:tcW w:w="4412" w:type="dxa"/>
            <w:gridSpan w:val="3"/>
            <w:tcBorders>
              <w:left w:val="nil"/>
            </w:tcBorders>
            <w:noWrap w:val="0"/>
            <w:vAlign w:val="center"/>
          </w:tcPr>
          <w:p w14:paraId="78BB156D">
            <w:pPr>
              <w:jc w:val="both"/>
              <w:rPr>
                <w:rFonts w:hint="eastAsia" w:ascii="宋体" w:hAnsi="宋体" w:eastAsia="宋体" w:cs="宋体"/>
                <w:sz w:val="21"/>
                <w:szCs w:val="21"/>
              </w:rPr>
            </w:pPr>
            <w:r>
              <w:rPr>
                <w:rFonts w:hint="eastAsia" w:ascii="宋体" w:hAnsi="宋体" w:eastAsia="宋体" w:cs="宋体"/>
                <w:sz w:val="21"/>
                <w:szCs w:val="21"/>
              </w:rPr>
              <w:t>接到产品问题整改通知后，未按照要求整改的，每发生一次扣2分。</w:t>
            </w:r>
          </w:p>
        </w:tc>
        <w:tc>
          <w:tcPr>
            <w:tcW w:w="1380" w:type="dxa"/>
            <w:noWrap w:val="0"/>
            <w:vAlign w:val="center"/>
          </w:tcPr>
          <w:p w14:paraId="0FE1EC44">
            <w:pPr>
              <w:jc w:val="center"/>
              <w:rPr>
                <w:rFonts w:hint="eastAsia" w:ascii="宋体" w:hAnsi="宋体" w:eastAsia="宋体" w:cs="宋体"/>
                <w:sz w:val="21"/>
                <w:szCs w:val="21"/>
              </w:rPr>
            </w:pPr>
          </w:p>
        </w:tc>
      </w:tr>
      <w:tr w14:paraId="4194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191" w:type="dxa"/>
            <w:vMerge w:val="continue"/>
            <w:noWrap w:val="0"/>
            <w:vAlign w:val="center"/>
          </w:tcPr>
          <w:p w14:paraId="712E5EF8">
            <w:pPr>
              <w:jc w:val="center"/>
              <w:rPr>
                <w:rFonts w:hint="eastAsia" w:ascii="宋体" w:hAnsi="宋体" w:eastAsia="宋体" w:cs="宋体"/>
                <w:sz w:val="21"/>
                <w:szCs w:val="21"/>
              </w:rPr>
            </w:pPr>
          </w:p>
        </w:tc>
        <w:tc>
          <w:tcPr>
            <w:tcW w:w="1601" w:type="dxa"/>
            <w:gridSpan w:val="2"/>
            <w:vMerge w:val="continue"/>
            <w:noWrap w:val="0"/>
            <w:vAlign w:val="center"/>
          </w:tcPr>
          <w:p w14:paraId="6A8A8E95">
            <w:pPr>
              <w:jc w:val="center"/>
              <w:rPr>
                <w:rFonts w:hint="eastAsia" w:ascii="宋体" w:hAnsi="宋体" w:eastAsia="宋体" w:cs="宋体"/>
                <w:sz w:val="21"/>
                <w:szCs w:val="21"/>
              </w:rPr>
            </w:pPr>
          </w:p>
        </w:tc>
        <w:tc>
          <w:tcPr>
            <w:tcW w:w="236" w:type="dxa"/>
            <w:tcBorders>
              <w:right w:val="nil"/>
            </w:tcBorders>
            <w:noWrap w:val="0"/>
            <w:vAlign w:val="center"/>
          </w:tcPr>
          <w:p w14:paraId="1B40246C">
            <w:pPr>
              <w:jc w:val="both"/>
              <w:rPr>
                <w:rFonts w:hint="eastAsia" w:ascii="宋体" w:hAnsi="宋体" w:eastAsia="宋体" w:cs="宋体"/>
                <w:sz w:val="21"/>
                <w:szCs w:val="21"/>
              </w:rPr>
            </w:pPr>
          </w:p>
        </w:tc>
        <w:tc>
          <w:tcPr>
            <w:tcW w:w="4412" w:type="dxa"/>
            <w:gridSpan w:val="3"/>
            <w:tcBorders>
              <w:left w:val="nil"/>
            </w:tcBorders>
            <w:noWrap w:val="0"/>
            <w:vAlign w:val="center"/>
          </w:tcPr>
          <w:p w14:paraId="798CE603">
            <w:pPr>
              <w:jc w:val="both"/>
              <w:rPr>
                <w:rFonts w:hint="eastAsia" w:ascii="宋体" w:hAnsi="宋体" w:eastAsia="宋体" w:cs="宋体"/>
                <w:sz w:val="21"/>
                <w:szCs w:val="21"/>
              </w:rPr>
            </w:pPr>
            <w:r>
              <w:rPr>
                <w:rFonts w:hint="eastAsia" w:ascii="宋体" w:hAnsi="宋体" w:eastAsia="宋体" w:cs="宋体"/>
                <w:sz w:val="21"/>
                <w:szCs w:val="21"/>
              </w:rPr>
              <w:t>所供产品每接到一次投诉扣1分扣完为止。</w:t>
            </w:r>
          </w:p>
        </w:tc>
        <w:tc>
          <w:tcPr>
            <w:tcW w:w="1380" w:type="dxa"/>
            <w:noWrap w:val="0"/>
            <w:vAlign w:val="center"/>
          </w:tcPr>
          <w:p w14:paraId="356B6388">
            <w:pPr>
              <w:jc w:val="center"/>
              <w:rPr>
                <w:rFonts w:hint="eastAsia" w:ascii="宋体" w:hAnsi="宋体" w:eastAsia="宋体" w:cs="宋体"/>
                <w:sz w:val="21"/>
                <w:szCs w:val="21"/>
              </w:rPr>
            </w:pPr>
          </w:p>
        </w:tc>
      </w:tr>
      <w:tr w14:paraId="5BE70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191" w:type="dxa"/>
            <w:vMerge w:val="continue"/>
            <w:noWrap w:val="0"/>
            <w:vAlign w:val="center"/>
          </w:tcPr>
          <w:p w14:paraId="23B899A5">
            <w:pPr>
              <w:jc w:val="center"/>
              <w:rPr>
                <w:rFonts w:hint="eastAsia" w:ascii="宋体" w:hAnsi="宋体" w:eastAsia="宋体" w:cs="宋体"/>
                <w:sz w:val="21"/>
                <w:szCs w:val="21"/>
              </w:rPr>
            </w:pPr>
          </w:p>
        </w:tc>
        <w:tc>
          <w:tcPr>
            <w:tcW w:w="1596" w:type="dxa"/>
            <w:noWrap w:val="0"/>
            <w:vAlign w:val="center"/>
          </w:tcPr>
          <w:p w14:paraId="53570461">
            <w:pPr>
              <w:jc w:val="center"/>
              <w:rPr>
                <w:rFonts w:hint="eastAsia" w:ascii="宋体" w:hAnsi="宋体" w:eastAsia="宋体" w:cs="宋体"/>
                <w:sz w:val="21"/>
                <w:szCs w:val="21"/>
              </w:rPr>
            </w:pPr>
          </w:p>
        </w:tc>
        <w:tc>
          <w:tcPr>
            <w:tcW w:w="4653" w:type="dxa"/>
            <w:gridSpan w:val="5"/>
            <w:noWrap w:val="0"/>
            <w:vAlign w:val="center"/>
          </w:tcPr>
          <w:p w14:paraId="43568426">
            <w:pPr>
              <w:ind w:left="210" w:leftChars="100" w:firstLine="0" w:firstLineChars="0"/>
              <w:jc w:val="both"/>
              <w:rPr>
                <w:rFonts w:hint="eastAsia" w:ascii="宋体" w:hAnsi="宋体" w:eastAsia="宋体" w:cs="宋体"/>
                <w:sz w:val="21"/>
                <w:szCs w:val="21"/>
              </w:rPr>
            </w:pPr>
            <w:r>
              <w:rPr>
                <w:rFonts w:hint="eastAsia" w:ascii="宋体" w:hAnsi="宋体" w:eastAsia="宋体" w:cs="宋体"/>
                <w:sz w:val="21"/>
                <w:szCs w:val="21"/>
              </w:rPr>
              <w:t>未能提供技术培训、安装调试和使用后回访等，一次扣2分，扣完为止。</w:t>
            </w:r>
          </w:p>
        </w:tc>
        <w:tc>
          <w:tcPr>
            <w:tcW w:w="1380" w:type="dxa"/>
            <w:noWrap w:val="0"/>
            <w:vAlign w:val="center"/>
          </w:tcPr>
          <w:p w14:paraId="43D90DD0">
            <w:pPr>
              <w:jc w:val="center"/>
              <w:rPr>
                <w:rFonts w:hint="eastAsia" w:ascii="宋体" w:hAnsi="宋体" w:eastAsia="宋体" w:cs="宋体"/>
                <w:sz w:val="21"/>
                <w:szCs w:val="21"/>
              </w:rPr>
            </w:pPr>
          </w:p>
        </w:tc>
      </w:tr>
      <w:tr w14:paraId="17FD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191" w:type="dxa"/>
            <w:noWrap w:val="0"/>
            <w:vAlign w:val="center"/>
          </w:tcPr>
          <w:p w14:paraId="0E6F5443">
            <w:pPr>
              <w:jc w:val="center"/>
              <w:rPr>
                <w:rFonts w:hint="eastAsia" w:ascii="宋体" w:hAnsi="宋体" w:eastAsia="宋体" w:cs="宋体"/>
                <w:sz w:val="21"/>
                <w:szCs w:val="21"/>
              </w:rPr>
            </w:pPr>
            <w:r>
              <w:rPr>
                <w:rFonts w:hint="eastAsia" w:ascii="宋体" w:hAnsi="宋体" w:eastAsia="宋体" w:cs="宋体"/>
                <w:sz w:val="21"/>
                <w:szCs w:val="21"/>
              </w:rPr>
              <w:t>四</w:t>
            </w:r>
          </w:p>
        </w:tc>
        <w:tc>
          <w:tcPr>
            <w:tcW w:w="1601" w:type="dxa"/>
            <w:gridSpan w:val="2"/>
            <w:noWrap w:val="0"/>
            <w:vAlign w:val="center"/>
          </w:tcPr>
          <w:p w14:paraId="1110FF7F">
            <w:pPr>
              <w:jc w:val="both"/>
              <w:rPr>
                <w:rFonts w:hint="eastAsia" w:ascii="宋体" w:hAnsi="宋体" w:eastAsia="宋体" w:cs="宋体"/>
                <w:sz w:val="21"/>
                <w:szCs w:val="21"/>
              </w:rPr>
            </w:pPr>
            <w:r>
              <w:rPr>
                <w:rFonts w:hint="eastAsia" w:ascii="宋体" w:hAnsi="宋体" w:cs="宋体"/>
                <w:sz w:val="21"/>
                <w:szCs w:val="21"/>
                <w:lang w:val="en-US" w:eastAsia="zh-CN"/>
              </w:rPr>
              <w:t xml:space="preserve">考核时间                                        </w:t>
            </w:r>
          </w:p>
        </w:tc>
        <w:tc>
          <w:tcPr>
            <w:tcW w:w="3078" w:type="dxa"/>
            <w:gridSpan w:val="3"/>
            <w:noWrap w:val="0"/>
            <w:vAlign w:val="center"/>
          </w:tcPr>
          <w:p w14:paraId="5E740BBE">
            <w:pPr>
              <w:jc w:val="both"/>
              <w:rPr>
                <w:rFonts w:hint="eastAsia" w:ascii="宋体" w:hAnsi="宋体" w:cs="宋体"/>
                <w:sz w:val="21"/>
                <w:szCs w:val="21"/>
                <w:lang w:val="en-US" w:eastAsia="zh-CN"/>
              </w:rPr>
            </w:pPr>
          </w:p>
        </w:tc>
        <w:tc>
          <w:tcPr>
            <w:tcW w:w="1570" w:type="dxa"/>
            <w:noWrap w:val="0"/>
            <w:vAlign w:val="center"/>
          </w:tcPr>
          <w:p w14:paraId="65E8EC5D">
            <w:pPr>
              <w:ind w:firstLine="210" w:firstLineChars="100"/>
              <w:jc w:val="both"/>
              <w:rPr>
                <w:rFonts w:hint="default" w:ascii="宋体" w:hAnsi="宋体" w:cs="宋体"/>
                <w:sz w:val="21"/>
                <w:szCs w:val="21"/>
                <w:lang w:val="en-US" w:eastAsia="zh-CN"/>
              </w:rPr>
            </w:pPr>
            <w:r>
              <w:rPr>
                <w:rFonts w:hint="eastAsia" w:ascii="宋体" w:hAnsi="宋体" w:cs="宋体"/>
                <w:sz w:val="21"/>
                <w:szCs w:val="21"/>
                <w:lang w:val="en-US" w:eastAsia="zh-CN"/>
              </w:rPr>
              <w:t>总得分</w:t>
            </w:r>
          </w:p>
        </w:tc>
        <w:tc>
          <w:tcPr>
            <w:tcW w:w="1380" w:type="dxa"/>
            <w:noWrap w:val="0"/>
            <w:vAlign w:val="center"/>
          </w:tcPr>
          <w:p w14:paraId="13E08293">
            <w:pPr>
              <w:jc w:val="center"/>
              <w:rPr>
                <w:rFonts w:hint="eastAsia" w:ascii="宋体" w:hAnsi="宋体" w:eastAsia="宋体" w:cs="宋体"/>
                <w:sz w:val="21"/>
                <w:szCs w:val="21"/>
              </w:rPr>
            </w:pPr>
          </w:p>
        </w:tc>
      </w:tr>
      <w:tr w14:paraId="2427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191" w:type="dxa"/>
            <w:noWrap w:val="0"/>
            <w:vAlign w:val="center"/>
          </w:tcPr>
          <w:p w14:paraId="06189059">
            <w:pPr>
              <w:jc w:val="center"/>
              <w:rPr>
                <w:rFonts w:hint="eastAsia" w:ascii="宋体" w:hAnsi="宋体" w:eastAsia="宋体" w:cs="宋体"/>
                <w:sz w:val="21"/>
                <w:szCs w:val="21"/>
              </w:rPr>
            </w:pPr>
            <w:r>
              <w:rPr>
                <w:rFonts w:hint="eastAsia" w:ascii="宋体" w:hAnsi="宋体" w:eastAsia="宋体" w:cs="宋体"/>
                <w:sz w:val="21"/>
                <w:szCs w:val="21"/>
              </w:rPr>
              <w:t>考核</w:t>
            </w:r>
            <w:r>
              <w:rPr>
                <w:rFonts w:hint="eastAsia" w:ascii="宋体" w:hAnsi="宋体" w:cs="宋体"/>
                <w:sz w:val="21"/>
                <w:szCs w:val="21"/>
                <w:lang w:val="en-US" w:eastAsia="zh-CN"/>
              </w:rPr>
              <w:t>科室</w:t>
            </w:r>
          </w:p>
        </w:tc>
        <w:tc>
          <w:tcPr>
            <w:tcW w:w="7629" w:type="dxa"/>
            <w:gridSpan w:val="7"/>
            <w:noWrap w:val="0"/>
            <w:vAlign w:val="center"/>
          </w:tcPr>
          <w:p w14:paraId="73FA8FB3">
            <w:pPr>
              <w:jc w:val="center"/>
              <w:rPr>
                <w:rFonts w:hint="eastAsia" w:ascii="宋体" w:hAnsi="宋体" w:eastAsia="宋体" w:cs="宋体"/>
                <w:sz w:val="21"/>
                <w:szCs w:val="21"/>
              </w:rPr>
            </w:pPr>
            <w:r>
              <w:rPr>
                <w:rFonts w:hint="eastAsia" w:ascii="宋体" w:hAnsi="宋体" w:cs="宋体"/>
                <w:sz w:val="21"/>
                <w:szCs w:val="21"/>
                <w:lang w:val="en-US" w:eastAsia="zh-CN"/>
              </w:rPr>
              <w:t xml:space="preserve">            </w:t>
            </w:r>
            <w:r>
              <w:rPr>
                <w:rFonts w:hint="eastAsia" w:ascii="宋体" w:hAnsi="宋体" w:eastAsia="宋体" w:cs="宋体"/>
                <w:sz w:val="21"/>
                <w:szCs w:val="21"/>
              </w:rPr>
              <w:t>考核</w:t>
            </w:r>
            <w:r>
              <w:rPr>
                <w:rFonts w:hint="eastAsia" w:ascii="宋体" w:hAnsi="宋体" w:cs="宋体"/>
                <w:sz w:val="21"/>
                <w:szCs w:val="21"/>
                <w:lang w:eastAsia="zh-CN"/>
              </w:rPr>
              <w:t>人</w:t>
            </w:r>
            <w:r>
              <w:rPr>
                <w:rFonts w:hint="eastAsia" w:ascii="宋体" w:hAnsi="宋体" w:eastAsia="宋体" w:cs="宋体"/>
                <w:sz w:val="21"/>
                <w:szCs w:val="21"/>
                <w:lang w:eastAsia="zh-CN"/>
              </w:rPr>
              <w:t>：</w:t>
            </w:r>
          </w:p>
        </w:tc>
      </w:tr>
    </w:tbl>
    <w:p w14:paraId="5F51127E">
      <w:pPr>
        <w:keepNext w:val="0"/>
        <w:keepLines w:val="0"/>
        <w:pageBreakBefore w:val="0"/>
        <w:widowControl/>
        <w:kinsoku/>
        <w:autoSpaceDE/>
        <w:autoSpaceDN/>
        <w:bidi w:val="0"/>
        <w:adjustRightInd/>
        <w:snapToGrid/>
        <w:spacing w:line="360" w:lineRule="auto"/>
        <w:jc w:val="left"/>
        <w:outlineLvl w:val="0"/>
        <w:rPr>
          <w:rFonts w:hint="eastAsia" w:ascii="黑体" w:hAnsi="黑体" w:eastAsia="黑体" w:cs="黑体"/>
          <w:b/>
          <w:bCs/>
          <w:color w:val="auto"/>
          <w:kern w:val="44"/>
          <w:sz w:val="21"/>
          <w:szCs w:val="21"/>
          <w:highlight w:val="none"/>
          <w:lang w:val="en-US" w:eastAsia="zh-CN"/>
        </w:rPr>
      </w:pPr>
      <w:r>
        <w:rPr>
          <w:rFonts w:hint="eastAsia" w:ascii="宋体" w:hAnsi="宋体" w:eastAsia="宋体" w:cs="宋体"/>
          <w:color w:val="auto"/>
          <w:sz w:val="21"/>
          <w:szCs w:val="21"/>
          <w:lang w:val="en-US" w:eastAsia="zh-CN"/>
        </w:rPr>
        <w:t>备注：</w:t>
      </w:r>
      <w:r>
        <w:rPr>
          <w:rFonts w:hint="eastAsia" w:ascii="宋体" w:hAnsi="宋体" w:eastAsia="宋体" w:cs="宋体"/>
          <w:b/>
          <w:bCs/>
          <w:i w:val="0"/>
          <w:iCs w:val="0"/>
          <w:color w:val="auto"/>
          <w:sz w:val="21"/>
          <w:szCs w:val="21"/>
          <w:u w:val="none"/>
          <w:lang w:val="en-US" w:eastAsia="zh-CN"/>
        </w:rPr>
        <w:t>考评为百分制，评分表满分为100分。当月度考评得分80分以上（包括80分），不扣除运营商的当月货款；当月度考评得分80分-60分（包括60分），扣除当月货款10%/次；当月度考评得分60分以下，扣除当月货款20%/次。如连续两个评价周期考评得分低于60分(不含60分</w:t>
      </w:r>
      <w:r>
        <w:rPr>
          <w:rFonts w:hint="eastAsia" w:ascii="宋体" w:hAnsi="宋体" w:cs="宋体"/>
          <w:b/>
          <w:bCs/>
          <w:i w:val="0"/>
          <w:iCs w:val="0"/>
          <w:color w:val="auto"/>
          <w:sz w:val="21"/>
          <w:szCs w:val="21"/>
          <w:u w:val="none"/>
          <w:lang w:val="en-US" w:eastAsia="zh-CN"/>
        </w:rPr>
        <w:t xml:space="preserve"> </w:t>
      </w:r>
      <w:r>
        <w:rPr>
          <w:rFonts w:hint="eastAsia" w:ascii="宋体" w:hAnsi="宋体" w:eastAsia="宋体" w:cs="宋体"/>
          <w:b/>
          <w:bCs/>
          <w:i w:val="0"/>
          <w:iCs w:val="0"/>
          <w:color w:val="auto"/>
          <w:sz w:val="21"/>
          <w:szCs w:val="21"/>
          <w:u w:val="none"/>
          <w:lang w:val="en-US" w:eastAsia="zh-CN"/>
        </w:rPr>
        <w:t>)，院方有权解</w:t>
      </w:r>
      <w:r>
        <w:rPr>
          <w:rFonts w:hint="eastAsia" w:ascii="宋体" w:hAnsi="宋体" w:eastAsia="宋体" w:cs="宋体"/>
          <w:b w:val="0"/>
          <w:bCs w:val="0"/>
          <w:i w:val="0"/>
          <w:iCs w:val="0"/>
          <w:color w:val="auto"/>
          <w:sz w:val="21"/>
          <w:szCs w:val="21"/>
          <w:u w:val="none"/>
          <w:lang w:val="en-US" w:eastAsia="zh-CN"/>
        </w:rPr>
        <w:t>除</w:t>
      </w:r>
      <w:r>
        <w:rPr>
          <w:rFonts w:hint="eastAsia" w:ascii="宋体" w:hAnsi="宋体" w:eastAsia="宋体" w:cs="宋体"/>
          <w:b/>
          <w:bCs/>
          <w:i w:val="0"/>
          <w:iCs w:val="0"/>
          <w:color w:val="auto"/>
          <w:sz w:val="21"/>
          <w:szCs w:val="21"/>
          <w:u w:val="none"/>
          <w:lang w:val="en-US" w:eastAsia="zh-CN"/>
        </w:rPr>
        <w:t>合同。</w:t>
      </w:r>
    </w:p>
    <w:bookmarkEnd w:id="10"/>
    <w:bookmarkEnd w:id="11"/>
    <w:p w14:paraId="36F80111">
      <w:pPr>
        <w:keepNext w:val="0"/>
        <w:keepLines w:val="0"/>
        <w:pageBreakBefore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b/>
          <w:bCs/>
          <w:color w:val="auto"/>
          <w:kern w:val="44"/>
          <w:sz w:val="21"/>
          <w:szCs w:val="21"/>
          <w:highlight w:val="none"/>
          <w:lang w:val="en-US" w:eastAsia="zh-CN"/>
        </w:rPr>
      </w:pPr>
      <w:bookmarkStart w:id="14" w:name="_Toc11198"/>
      <w:bookmarkStart w:id="15" w:name="_Toc649"/>
      <w:r>
        <w:rPr>
          <w:rFonts w:hint="eastAsia" w:ascii="宋体" w:hAnsi="宋体" w:eastAsia="宋体" w:cs="宋体"/>
          <w:b/>
          <w:bCs/>
          <w:color w:val="auto"/>
          <w:kern w:val="44"/>
          <w:sz w:val="21"/>
          <w:szCs w:val="21"/>
          <w:highlight w:val="none"/>
          <w:lang w:val="en-US" w:eastAsia="zh-CN"/>
        </w:rPr>
        <w:t>八、付款方式</w:t>
      </w:r>
    </w:p>
    <w:p w14:paraId="5B334747">
      <w:pPr>
        <w:keepNext w:val="0"/>
        <w:keepLines w:val="0"/>
        <w:pageBreakBefore w:val="0"/>
        <w:numPr>
          <w:ilvl w:val="0"/>
          <w:numId w:val="0"/>
        </w:numPr>
        <w:kinsoku/>
        <w:wordWrap/>
        <w:overflowPunct/>
        <w:topLinePunct w:val="0"/>
        <w:autoSpaceDE/>
        <w:autoSpaceDN/>
        <w:bidi w:val="0"/>
        <w:spacing w:line="440" w:lineRule="exact"/>
        <w:ind w:firstLine="420" w:firstLineChars="0"/>
        <w:jc w:val="left"/>
        <w:textAlignment w:val="auto"/>
        <w:rPr>
          <w:rFonts w:hint="eastAsia" w:ascii="宋体" w:hAnsi="宋体" w:eastAsia="宋体" w:cs="宋体"/>
          <w:b w:val="0"/>
          <w:bCs w:val="0"/>
          <w:color w:val="auto"/>
          <w:kern w:val="44"/>
          <w:sz w:val="21"/>
          <w:szCs w:val="21"/>
          <w:highlight w:val="none"/>
          <w:lang w:val="en-US" w:eastAsia="zh-CN"/>
        </w:rPr>
      </w:pPr>
      <w:r>
        <w:rPr>
          <w:rFonts w:hint="eastAsia" w:ascii="宋体" w:hAnsi="宋体" w:eastAsia="宋体" w:cs="宋体"/>
          <w:b w:val="0"/>
          <w:bCs w:val="0"/>
          <w:color w:val="auto"/>
          <w:kern w:val="44"/>
          <w:sz w:val="21"/>
          <w:szCs w:val="21"/>
          <w:highlight w:val="none"/>
          <w:lang w:val="en-US" w:eastAsia="zh-CN"/>
        </w:rPr>
        <w:t>1.采购产品和数量以采购人每次书面订单通知为准，付款周期为3个月。</w:t>
      </w:r>
    </w:p>
    <w:p w14:paraId="425CFA1D">
      <w:pPr>
        <w:keepNext w:val="0"/>
        <w:keepLines w:val="0"/>
        <w:pageBreakBefore w:val="0"/>
        <w:numPr>
          <w:ilvl w:val="0"/>
          <w:numId w:val="0"/>
        </w:numPr>
        <w:kinsoku/>
        <w:wordWrap/>
        <w:overflowPunct/>
        <w:topLinePunct w:val="0"/>
        <w:autoSpaceDE/>
        <w:autoSpaceDN/>
        <w:bidi w:val="0"/>
        <w:spacing w:line="440" w:lineRule="exact"/>
        <w:ind w:firstLine="420" w:firstLineChars="0"/>
        <w:jc w:val="left"/>
        <w:textAlignment w:val="auto"/>
        <w:rPr>
          <w:rFonts w:hint="eastAsia" w:ascii="宋体" w:hAnsi="宋体" w:eastAsia="宋体" w:cs="宋体"/>
          <w:b w:val="0"/>
          <w:bCs w:val="0"/>
          <w:color w:val="auto"/>
          <w:kern w:val="44"/>
          <w:sz w:val="21"/>
          <w:szCs w:val="21"/>
          <w:highlight w:val="none"/>
          <w:lang w:val="en-US" w:eastAsia="zh-CN"/>
        </w:rPr>
      </w:pPr>
      <w:r>
        <w:rPr>
          <w:rFonts w:hint="eastAsia" w:ascii="宋体" w:hAnsi="宋体" w:eastAsia="宋体" w:cs="宋体"/>
          <w:b w:val="0"/>
          <w:bCs w:val="0"/>
          <w:color w:val="auto"/>
          <w:kern w:val="44"/>
          <w:sz w:val="21"/>
          <w:szCs w:val="21"/>
          <w:highlight w:val="none"/>
          <w:lang w:val="en-US" w:eastAsia="zh-CN"/>
        </w:rPr>
        <w:t>2.供应商按正常途径供货并及时办理入库手续后，向采购人确认当月入库数额，并按月开具正规合法的增值税发票。采购人按医院正常付款流程办理付款。采购人原则上按入库时间界定付款周期，供应商须保证当月送货当月开具发票；若未及时办理入库或发票与入库月份不一致，采购人有权按发票时间界定付款周期并拒付。</w:t>
      </w:r>
    </w:p>
    <w:p w14:paraId="3C5CAB64">
      <w:pPr>
        <w:keepNext w:val="0"/>
        <w:keepLines w:val="0"/>
        <w:pageBreakBefore w:val="0"/>
        <w:numPr>
          <w:ilvl w:val="0"/>
          <w:numId w:val="0"/>
        </w:numPr>
        <w:kinsoku/>
        <w:wordWrap/>
        <w:overflowPunct/>
        <w:topLinePunct w:val="0"/>
        <w:autoSpaceDE/>
        <w:autoSpaceDN/>
        <w:bidi w:val="0"/>
        <w:spacing w:line="440" w:lineRule="exact"/>
        <w:ind w:firstLine="420" w:firstLineChars="0"/>
        <w:jc w:val="left"/>
        <w:textAlignment w:val="auto"/>
        <w:rPr>
          <w:rFonts w:hint="eastAsia" w:ascii="宋体" w:hAnsi="宋体" w:eastAsia="宋体" w:cs="宋体"/>
          <w:b w:val="0"/>
          <w:bCs w:val="0"/>
          <w:color w:val="auto"/>
          <w:kern w:val="44"/>
          <w:sz w:val="21"/>
          <w:szCs w:val="21"/>
          <w:highlight w:val="none"/>
          <w:lang w:val="en-US" w:eastAsia="zh-CN"/>
        </w:rPr>
      </w:pPr>
      <w:r>
        <w:rPr>
          <w:rFonts w:hint="eastAsia" w:ascii="宋体" w:hAnsi="宋体" w:eastAsia="宋体" w:cs="宋体"/>
          <w:b w:val="0"/>
          <w:bCs w:val="0"/>
          <w:color w:val="auto"/>
          <w:kern w:val="44"/>
          <w:sz w:val="21"/>
          <w:szCs w:val="21"/>
          <w:highlight w:val="none"/>
          <w:lang w:val="en-US" w:eastAsia="zh-CN"/>
        </w:rPr>
        <w:t>3.供应商账户如有变动，须提前30日向甲方提交书面证明，否则采购人不承担由此造成的一切损失和责任。</w:t>
      </w:r>
    </w:p>
    <w:bookmarkEnd w:id="14"/>
    <w:bookmarkEnd w:id="15"/>
    <w:p w14:paraId="683AC4BC">
      <w:pPr>
        <w:rPr>
          <w:rFonts w:hint="eastAsia" w:ascii="仿宋" w:hAnsi="仿宋" w:eastAsia="仿宋" w:cs="仿宋"/>
          <w:b w:val="0"/>
          <w:bCs w:val="0"/>
          <w:sz w:val="32"/>
          <w:szCs w:val="32"/>
        </w:rPr>
      </w:pPr>
    </w:p>
    <w:sectPr>
      <w:footerReference r:id="rId3" w:type="default"/>
      <w:pgSz w:w="11906" w:h="16838"/>
      <w:pgMar w:top="1440" w:right="1746" w:bottom="1440"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ont-weight : 4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font-weight : 700">
    <w:altName w:val="微软雅黑"/>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042D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988AB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988AB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A990EE"/>
    <w:multiLevelType w:val="singleLevel"/>
    <w:tmpl w:val="38A990E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016FD8"/>
    <w:rsid w:val="01817491"/>
    <w:rsid w:val="01D50BD5"/>
    <w:rsid w:val="03EE683D"/>
    <w:rsid w:val="0520689E"/>
    <w:rsid w:val="056C6098"/>
    <w:rsid w:val="05E750B0"/>
    <w:rsid w:val="060C1AC2"/>
    <w:rsid w:val="07B70A9C"/>
    <w:rsid w:val="0878022B"/>
    <w:rsid w:val="089F35DF"/>
    <w:rsid w:val="097B60CD"/>
    <w:rsid w:val="0AC51722"/>
    <w:rsid w:val="0BFD6C75"/>
    <w:rsid w:val="0C9B0880"/>
    <w:rsid w:val="0D5D665A"/>
    <w:rsid w:val="0E0407B3"/>
    <w:rsid w:val="0E810B5D"/>
    <w:rsid w:val="0F0F7410"/>
    <w:rsid w:val="0FA67D74"/>
    <w:rsid w:val="0FCB0EB9"/>
    <w:rsid w:val="105248E6"/>
    <w:rsid w:val="1062774B"/>
    <w:rsid w:val="1176071F"/>
    <w:rsid w:val="13E0285C"/>
    <w:rsid w:val="1431435E"/>
    <w:rsid w:val="15B86930"/>
    <w:rsid w:val="17A0154D"/>
    <w:rsid w:val="18A57F3A"/>
    <w:rsid w:val="19C06BAC"/>
    <w:rsid w:val="1A0C69AF"/>
    <w:rsid w:val="1B5E7941"/>
    <w:rsid w:val="1B7900EB"/>
    <w:rsid w:val="1B862808"/>
    <w:rsid w:val="1C33473D"/>
    <w:rsid w:val="1CBF4223"/>
    <w:rsid w:val="1CD53A47"/>
    <w:rsid w:val="1DA4230E"/>
    <w:rsid w:val="1ED038BC"/>
    <w:rsid w:val="20417F77"/>
    <w:rsid w:val="22F34C27"/>
    <w:rsid w:val="28720201"/>
    <w:rsid w:val="2CF30586"/>
    <w:rsid w:val="2DCE1EBA"/>
    <w:rsid w:val="2E811D1F"/>
    <w:rsid w:val="2EF57EF8"/>
    <w:rsid w:val="317D48F6"/>
    <w:rsid w:val="33E56ED0"/>
    <w:rsid w:val="34AD7EA2"/>
    <w:rsid w:val="35773495"/>
    <w:rsid w:val="3857135C"/>
    <w:rsid w:val="3AA71340"/>
    <w:rsid w:val="3B0166CD"/>
    <w:rsid w:val="3C092F6A"/>
    <w:rsid w:val="3C134030"/>
    <w:rsid w:val="3ED8395B"/>
    <w:rsid w:val="3F7B1DD4"/>
    <w:rsid w:val="40C15F0C"/>
    <w:rsid w:val="40E04529"/>
    <w:rsid w:val="412C5A7C"/>
    <w:rsid w:val="41E225DE"/>
    <w:rsid w:val="43922586"/>
    <w:rsid w:val="43F55DD8"/>
    <w:rsid w:val="45E32E86"/>
    <w:rsid w:val="46A84462"/>
    <w:rsid w:val="473C009B"/>
    <w:rsid w:val="47D01EDF"/>
    <w:rsid w:val="49831FB1"/>
    <w:rsid w:val="4A016FD8"/>
    <w:rsid w:val="4DA655D6"/>
    <w:rsid w:val="4DCA07BA"/>
    <w:rsid w:val="4EDC3516"/>
    <w:rsid w:val="4FFE14C1"/>
    <w:rsid w:val="507D5CAE"/>
    <w:rsid w:val="51084510"/>
    <w:rsid w:val="52712F7F"/>
    <w:rsid w:val="52C264D5"/>
    <w:rsid w:val="54703A7A"/>
    <w:rsid w:val="580441F3"/>
    <w:rsid w:val="586E6043"/>
    <w:rsid w:val="59AA4777"/>
    <w:rsid w:val="5A2C1221"/>
    <w:rsid w:val="5A5A57AD"/>
    <w:rsid w:val="5B7A6F8C"/>
    <w:rsid w:val="5BB4249E"/>
    <w:rsid w:val="5C301F83"/>
    <w:rsid w:val="5E3A3003"/>
    <w:rsid w:val="63377DE5"/>
    <w:rsid w:val="664457FD"/>
    <w:rsid w:val="667747F4"/>
    <w:rsid w:val="66C339F8"/>
    <w:rsid w:val="66DC57F7"/>
    <w:rsid w:val="66E31E89"/>
    <w:rsid w:val="6703252B"/>
    <w:rsid w:val="68326FEF"/>
    <w:rsid w:val="6B37562C"/>
    <w:rsid w:val="6E8C3312"/>
    <w:rsid w:val="70835FC4"/>
    <w:rsid w:val="71EF65F0"/>
    <w:rsid w:val="72190E55"/>
    <w:rsid w:val="74281823"/>
    <w:rsid w:val="74BB61F3"/>
    <w:rsid w:val="74C36C69"/>
    <w:rsid w:val="778E4093"/>
    <w:rsid w:val="782567A5"/>
    <w:rsid w:val="790243F1"/>
    <w:rsid w:val="790B328D"/>
    <w:rsid w:val="79A839E9"/>
    <w:rsid w:val="7A111395"/>
    <w:rsid w:val="7A252A8D"/>
    <w:rsid w:val="7A8F3624"/>
    <w:rsid w:val="7CB935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Plain Text"/>
    <w:basedOn w:val="1"/>
    <w:next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ascii="font-weight : 400" w:hAnsi="font-weight : 400" w:eastAsia="font-weight : 400" w:cs="font-weight : 400"/>
      <w:color w:val="000000"/>
      <w:sz w:val="20"/>
      <w:szCs w:val="20"/>
      <w:u w:val="none"/>
    </w:rPr>
  </w:style>
  <w:style w:type="character" w:customStyle="1" w:styleId="10">
    <w:name w:val="font61"/>
    <w:basedOn w:val="8"/>
    <w:qFormat/>
    <w:uiPriority w:val="0"/>
    <w:rPr>
      <w:rFonts w:hint="eastAsia" w:ascii="宋体" w:hAnsi="宋体" w:eastAsia="宋体" w:cs="宋体"/>
      <w:color w:val="000000"/>
      <w:sz w:val="22"/>
      <w:szCs w:val="22"/>
      <w:u w:val="none"/>
    </w:rPr>
  </w:style>
  <w:style w:type="character" w:customStyle="1" w:styleId="11">
    <w:name w:val="font31"/>
    <w:basedOn w:val="8"/>
    <w:qFormat/>
    <w:uiPriority w:val="0"/>
    <w:rPr>
      <w:rFonts w:hint="eastAsia" w:ascii="宋体" w:hAnsi="宋体" w:eastAsia="宋体" w:cs="宋体"/>
      <w:color w:val="000000"/>
      <w:sz w:val="22"/>
      <w:szCs w:val="22"/>
      <w:u w:val="none"/>
    </w:rPr>
  </w:style>
  <w:style w:type="character" w:customStyle="1" w:styleId="12">
    <w:name w:val="font81"/>
    <w:basedOn w:val="8"/>
    <w:qFormat/>
    <w:uiPriority w:val="0"/>
    <w:rPr>
      <w:rFonts w:ascii="font-weight : 700" w:hAnsi="font-weight : 700" w:eastAsia="font-weight : 700" w:cs="font-weight : 700"/>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3117</Words>
  <Characters>3645</Characters>
  <Lines>0</Lines>
  <Paragraphs>0</Paragraphs>
  <TotalTime>46</TotalTime>
  <ScaleCrop>false</ScaleCrop>
  <LinksUpToDate>false</LinksUpToDate>
  <CharactersWithSpaces>3711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2025-06-18T02:59:00Z</dcterms:created>
  <dc:creator>麦子芯</dc:creator>
  <cp:lastModifiedBy>龙金金</cp:lastModifiedBy>
  <cp:lastPrinted>2025-07-03T08:31:00Z</cp:lastPrinted>
  <dcterms:modified xsi:type="dcterms:W3CDTF">2026-11-04T02:37:19Z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76F0B7C66B614A7681690BE8E1A16767_13</vt:lpwstr>
  </property>
  <property fmtid="{D5CDD505-2E9C-101B-9397-08002B2CF9AE}" pid="4" name="KSOTemplateDocerSaveRecord">
    <vt:lpwstr>eyJoZGlkIjoiMDlmMGYwNDM4YjFhMTllMGNhNDVlYzE3OWJkOTUxNjYiLCJ1c2VySWQiOiI5ODc0MDI1ODEifQ==</vt:lpwstr>
  </property>
</Properties>
</file>